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C65DB3" w:rsidRDefault="00635780" w:rsidP="007A5691">
      <w:pPr>
        <w:rPr>
          <w:rFonts w:ascii="Arial Narrow" w:hAnsi="Arial Narrow"/>
          <w:b/>
          <w:noProof/>
          <w:sz w:val="28"/>
          <w:szCs w:val="28"/>
        </w:rPr>
      </w:pPr>
    </w:p>
    <w:p w:rsidR="00C65DB3" w:rsidRPr="00032D60" w:rsidRDefault="00C65DB3" w:rsidP="00C65DB3">
      <w:pPr>
        <w:pStyle w:val="PlainText"/>
        <w:rPr>
          <w:rFonts w:ascii="Arial Narrow" w:hAnsi="Arial Narrow" w:cs="Courier New"/>
          <w:sz w:val="22"/>
          <w:szCs w:val="22"/>
        </w:rPr>
      </w:pPr>
    </w:p>
    <w:p w:rsidR="00C65DB3" w:rsidRPr="00032D60" w:rsidRDefault="00C65DB3" w:rsidP="00C65DB3">
      <w:pPr>
        <w:pStyle w:val="PlainText"/>
        <w:rPr>
          <w:rFonts w:ascii="Arial Narrow" w:hAnsi="Arial Narrow" w:cs="Courier New"/>
          <w:sz w:val="22"/>
          <w:szCs w:val="22"/>
        </w:rPr>
      </w:pPr>
      <w:r w:rsidRPr="00032D60">
        <w:rPr>
          <w:rFonts w:ascii="Arial Narrow" w:hAnsi="Arial Narrow" w:cs="Courier New"/>
          <w:sz w:val="22"/>
          <w:szCs w:val="22"/>
        </w:rPr>
        <w:t>LOCATION.--Lat 40°23'37", long 91°22'27" referenced to North American Datum of 1927, in SE 1/4 SW 1/4 sec.30, T.65 N., R.4 W., Lee County, IA, Hydrologic Unit 07080104, near right bank in tailwater of dam and power plant of AmerenUE in Keokuk, 0.2 mi upstream from bridge on U.S. Highway 136, 2.7 mi upstream from Des Moines River, and 364.2 mi upstream from Ohio River.</w:t>
      </w:r>
    </w:p>
    <w:p w:rsidR="00C65DB3" w:rsidRPr="00032D60" w:rsidRDefault="00C65DB3" w:rsidP="00C65DB3">
      <w:pPr>
        <w:pStyle w:val="PlainText"/>
        <w:rPr>
          <w:rFonts w:ascii="Arial Narrow" w:hAnsi="Arial Narrow" w:cs="Courier New"/>
          <w:sz w:val="22"/>
          <w:szCs w:val="22"/>
        </w:rPr>
      </w:pPr>
    </w:p>
    <w:p w:rsidR="00C65DB3" w:rsidRPr="00032D60" w:rsidRDefault="00C65DB3" w:rsidP="00C65DB3">
      <w:pPr>
        <w:pStyle w:val="PlainText"/>
        <w:rPr>
          <w:rFonts w:ascii="Arial Narrow" w:hAnsi="Arial Narrow" w:cs="Courier New"/>
          <w:sz w:val="22"/>
          <w:szCs w:val="22"/>
        </w:rPr>
      </w:pPr>
      <w:r w:rsidRPr="00032D60">
        <w:rPr>
          <w:rFonts w:ascii="Arial Narrow" w:hAnsi="Arial Narrow" w:cs="Courier New"/>
          <w:sz w:val="22"/>
          <w:szCs w:val="22"/>
        </w:rPr>
        <w:t>DRAINAGE AREA.--119,000 mi².</w:t>
      </w:r>
    </w:p>
    <w:p w:rsidR="00C65DB3" w:rsidRPr="00032D60" w:rsidRDefault="00C65DB3" w:rsidP="00C65DB3">
      <w:pPr>
        <w:pStyle w:val="PlainText"/>
        <w:rPr>
          <w:rFonts w:ascii="Arial Narrow" w:hAnsi="Arial Narrow" w:cs="Courier New"/>
          <w:sz w:val="22"/>
          <w:szCs w:val="22"/>
        </w:rPr>
      </w:pPr>
    </w:p>
    <w:p w:rsidR="00C65DB3" w:rsidRPr="00032D60" w:rsidRDefault="00C65DB3" w:rsidP="00C65DB3">
      <w:pPr>
        <w:pStyle w:val="PlainText"/>
        <w:rPr>
          <w:rFonts w:ascii="Arial Narrow" w:hAnsi="Arial Narrow" w:cs="Courier New"/>
          <w:sz w:val="22"/>
          <w:szCs w:val="22"/>
        </w:rPr>
      </w:pPr>
      <w:r w:rsidRPr="00032D60">
        <w:rPr>
          <w:rFonts w:ascii="Arial Narrow" w:hAnsi="Arial Narrow" w:cs="Courier New"/>
          <w:sz w:val="22"/>
          <w:szCs w:val="22"/>
        </w:rPr>
        <w:t>PERIOD OF RECORD.--Discharge records from January 1878 to current year.</w:t>
      </w:r>
    </w:p>
    <w:p w:rsidR="00C65DB3" w:rsidRPr="00032D60" w:rsidRDefault="00C65DB3" w:rsidP="00C65DB3">
      <w:pPr>
        <w:pStyle w:val="PlainText"/>
        <w:rPr>
          <w:rFonts w:ascii="Arial Narrow" w:hAnsi="Arial Narrow" w:cs="Courier New"/>
          <w:sz w:val="22"/>
          <w:szCs w:val="22"/>
        </w:rPr>
      </w:pPr>
    </w:p>
    <w:p w:rsidR="00C65DB3" w:rsidRPr="00032D60" w:rsidRDefault="00C65DB3" w:rsidP="00C65DB3">
      <w:pPr>
        <w:pStyle w:val="PlainText"/>
        <w:rPr>
          <w:rFonts w:ascii="Arial Narrow" w:hAnsi="Arial Narrow" w:cs="Courier New"/>
          <w:sz w:val="22"/>
          <w:szCs w:val="22"/>
        </w:rPr>
      </w:pPr>
      <w:r w:rsidRPr="00032D60">
        <w:rPr>
          <w:rFonts w:ascii="Arial Narrow" w:hAnsi="Arial Narrow" w:cs="Courier New"/>
          <w:sz w:val="22"/>
          <w:szCs w:val="22"/>
        </w:rPr>
        <w:t>GAGE.--Datum of gage is 477.41 ft above National Geodetic Vertical Datum of 1929 (levels by U.S. Army Corps of Engineers). January 1, 1878, to May 1913, non-recording gage at Galland (formerly Nashville), 8 mi upstream, with datum of gage set to low-water mark of 1864, or 496.94 ft above Mean Sea Level, general adjustment of 1912.</w:t>
      </w:r>
    </w:p>
    <w:p w:rsidR="00C65DB3" w:rsidRPr="00032D60" w:rsidRDefault="00C65DB3" w:rsidP="00C65DB3">
      <w:pPr>
        <w:pStyle w:val="PlainText"/>
        <w:rPr>
          <w:rFonts w:ascii="Arial Narrow" w:hAnsi="Arial Narrow" w:cs="Courier New"/>
          <w:sz w:val="22"/>
          <w:szCs w:val="22"/>
        </w:rPr>
      </w:pPr>
    </w:p>
    <w:p w:rsidR="00C65DB3" w:rsidRPr="00032D60" w:rsidRDefault="00C65DB3" w:rsidP="00C65DB3">
      <w:pPr>
        <w:pStyle w:val="PlainText"/>
        <w:rPr>
          <w:rFonts w:ascii="Arial Narrow" w:hAnsi="Arial Narrow" w:cs="Courier New"/>
          <w:sz w:val="22"/>
          <w:szCs w:val="22"/>
        </w:rPr>
      </w:pPr>
      <w:r w:rsidRPr="00032D60">
        <w:rPr>
          <w:rFonts w:ascii="Arial Narrow" w:hAnsi="Arial Narrow" w:cs="Courier New"/>
          <w:sz w:val="22"/>
          <w:szCs w:val="22"/>
        </w:rPr>
        <w:t>COOPERATION.--Records provided by AmerenUE (formerly Union Electric Company).</w:t>
      </w:r>
    </w:p>
    <w:p w:rsidR="00C65DB3" w:rsidRPr="00032D60" w:rsidRDefault="00C65DB3" w:rsidP="00C65DB3">
      <w:pPr>
        <w:pStyle w:val="PlainText"/>
        <w:rPr>
          <w:rFonts w:ascii="Arial Narrow" w:hAnsi="Arial Narrow" w:cs="Courier New"/>
          <w:sz w:val="22"/>
          <w:szCs w:val="22"/>
        </w:rPr>
      </w:pPr>
    </w:p>
    <w:p w:rsidR="00C65DB3" w:rsidRPr="00032D60" w:rsidRDefault="00C65DB3" w:rsidP="00C65DB3">
      <w:pPr>
        <w:pStyle w:val="PlainText"/>
        <w:rPr>
          <w:rFonts w:ascii="Arial Narrow" w:hAnsi="Arial Narrow" w:cs="Courier New"/>
          <w:sz w:val="22"/>
          <w:szCs w:val="22"/>
        </w:rPr>
      </w:pPr>
      <w:r w:rsidRPr="00032D60">
        <w:rPr>
          <w:rFonts w:ascii="Arial Narrow" w:hAnsi="Arial Narrow" w:cs="Courier New"/>
          <w:sz w:val="22"/>
          <w:szCs w:val="22"/>
        </w:rPr>
        <w:t>REMARKS.--Discharge computed from records of operation of turbines in power plant and spillway gates at dam. Minor flow regulation caused by power plant since 1913 and navigation dams. Records for May 1913 to September 1937 adjusted for change in contents in Keokuk Reservoir, those after September 1937 unadjusted.</w:t>
      </w:r>
    </w:p>
    <w:p w:rsidR="00C65DB3" w:rsidRPr="00032D60" w:rsidRDefault="00C65DB3" w:rsidP="00C65DB3">
      <w:pPr>
        <w:pStyle w:val="PlainText"/>
        <w:rPr>
          <w:rFonts w:ascii="Arial Narrow" w:hAnsi="Arial Narrow" w:cs="Courier New"/>
          <w:sz w:val="22"/>
          <w:szCs w:val="22"/>
        </w:rPr>
      </w:pPr>
    </w:p>
    <w:p w:rsidR="004F74DB" w:rsidRDefault="00C65DB3" w:rsidP="00017AF1">
      <w:pPr>
        <w:pStyle w:val="PlainText"/>
        <w:rPr>
          <w:rFonts w:ascii="Arial Narrow" w:hAnsi="Arial Narrow" w:cs="Courier New"/>
          <w:sz w:val="22"/>
          <w:szCs w:val="22"/>
        </w:rPr>
      </w:pPr>
      <w:r w:rsidRPr="00032D60">
        <w:rPr>
          <w:rFonts w:ascii="Arial Narrow" w:hAnsi="Arial Narrow" w:cs="Courier New"/>
          <w:sz w:val="22"/>
          <w:szCs w:val="22"/>
        </w:rPr>
        <w:t>EXTREMES OUTSIDE PERIOD OF RECORD.--Flood of June 6, 1851, reached a stage of 21.0 ft, at current site and datum, estimated as 13.5 ft at Galland, discharge 360,000 ft³/s.</w:t>
      </w:r>
    </w:p>
    <w:p w:rsidR="00017AF1" w:rsidRDefault="00017AF1" w:rsidP="00017AF1">
      <w:pPr>
        <w:pStyle w:val="PlainText"/>
        <w:rPr>
          <w:rFonts w:ascii="Arial Narrow" w:hAnsi="Arial Narrow" w:cs="Courier New"/>
          <w:sz w:val="22"/>
          <w:szCs w:val="22"/>
        </w:rPr>
      </w:pPr>
    </w:p>
    <w:p w:rsidR="00017AF1" w:rsidRDefault="00017AF1" w:rsidP="00017AF1">
      <w:pPr>
        <w:pStyle w:val="PlainText"/>
        <w:rPr>
          <w:rFonts w:ascii="Arial Narrow" w:hAnsi="Arial Narrow" w:cs="Courier New"/>
          <w:sz w:val="22"/>
          <w:szCs w:val="22"/>
        </w:rPr>
      </w:pPr>
    </w:p>
    <w:p w:rsidR="00017AF1" w:rsidRPr="00017AF1" w:rsidRDefault="00017AF1" w:rsidP="00017AF1">
      <w:pPr>
        <w:pStyle w:val="PlainText"/>
        <w:rPr>
          <w:rFonts w:ascii="Arial Narrow" w:hAnsi="Arial Narrow" w:cs="Courier New"/>
          <w:sz w:val="22"/>
          <w:szCs w:val="22"/>
        </w:rPr>
      </w:pPr>
    </w:p>
    <w:p w:rsidR="006162FF" w:rsidRPr="00032D60" w:rsidRDefault="00D0469C" w:rsidP="007A5691">
      <w:pPr>
        <w:rPr>
          <w:rFonts w:ascii="Arial Narrow" w:hAnsi="Arial Narrow"/>
        </w:rPr>
      </w:pPr>
      <w:r w:rsidRPr="00032D60">
        <w:rPr>
          <w:rFonts w:ascii="Arial Narrow" w:hAnsi="Arial Narrow"/>
        </w:rPr>
        <w:t>A summary of all available</w:t>
      </w:r>
      <w:r w:rsidR="00654E98" w:rsidRPr="00032D60">
        <w:rPr>
          <w:rFonts w:ascii="Arial Narrow" w:hAnsi="Arial Narrow"/>
        </w:rPr>
        <w:t xml:space="preserve"> </w:t>
      </w:r>
      <w:r w:rsidR="00282A42" w:rsidRPr="00032D60">
        <w:rPr>
          <w:rFonts w:ascii="Arial Narrow" w:hAnsi="Arial Narrow"/>
        </w:rPr>
        <w:t>data</w:t>
      </w:r>
      <w:r w:rsidR="007A5691" w:rsidRPr="00032D60">
        <w:rPr>
          <w:rFonts w:ascii="Arial Narrow" w:hAnsi="Arial Narrow"/>
        </w:rPr>
        <w:t xml:space="preserve"> for this streamgage </w:t>
      </w:r>
      <w:r w:rsidR="007B6CCF" w:rsidRPr="00032D6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32D60">
        <w:rPr>
          <w:rFonts w:ascii="Arial Narrow" w:hAnsi="Arial Narrow"/>
        </w:rPr>
        <w:t>,</w:t>
      </w:r>
      <w:r w:rsidR="007B6CCF" w:rsidRPr="00032D60">
        <w:rPr>
          <w:rFonts w:ascii="Arial Narrow" w:hAnsi="Arial Narrow"/>
        </w:rPr>
        <w:t xml:space="preserve"> and can be output in various tabular and graphical formats.</w:t>
      </w:r>
    </w:p>
    <w:p w:rsidR="00ED06BE" w:rsidRPr="00032D60" w:rsidRDefault="006A3D0B" w:rsidP="00ED06BE">
      <w:pPr>
        <w:jc w:val="center"/>
        <w:rPr>
          <w:rStyle w:val="Hyperlink"/>
          <w:rFonts w:ascii="Arial Narrow" w:hAnsi="Arial Narrow"/>
        </w:rPr>
      </w:pPr>
      <w:hyperlink r:id="rId8" w:history="1">
        <w:r w:rsidR="00C65DB3" w:rsidRPr="00032D60">
          <w:rPr>
            <w:rStyle w:val="Hyperlink"/>
            <w:rFonts w:ascii="Arial Narrow" w:hAnsi="Arial Narrow"/>
          </w:rPr>
          <w:t>http://waterdata.usgs.gov/nwis/inventory/?site_no=05474500</w:t>
        </w:r>
      </w:hyperlink>
    </w:p>
    <w:p w:rsidR="00ED06BE" w:rsidRPr="00032D60" w:rsidRDefault="00ED06BE" w:rsidP="00ED06BE">
      <w:pPr>
        <w:jc w:val="center"/>
        <w:rPr>
          <w:rStyle w:val="Hyperlink"/>
          <w:rFonts w:ascii="Arial Narrow" w:hAnsi="Arial Narrow"/>
        </w:rPr>
      </w:pPr>
    </w:p>
    <w:p w:rsidR="00ED06BE" w:rsidRPr="00032D60" w:rsidRDefault="00ED06BE" w:rsidP="00ED06BE">
      <w:pPr>
        <w:rPr>
          <w:rFonts w:ascii="Arial Narrow" w:hAnsi="Arial Narrow"/>
        </w:rPr>
      </w:pPr>
      <w:r w:rsidRPr="00032D60">
        <w:rPr>
          <w:rFonts w:ascii="Arial Narrow" w:hAnsi="Arial Narrow"/>
        </w:rPr>
        <w:t xml:space="preserve">The USGS WaterWatch Toolkit is available at: </w:t>
      </w:r>
    </w:p>
    <w:p w:rsidR="00ED06BE" w:rsidRPr="00032D60" w:rsidRDefault="006A3D0B" w:rsidP="00ED06BE">
      <w:pPr>
        <w:jc w:val="center"/>
        <w:rPr>
          <w:rFonts w:ascii="Arial Narrow" w:hAnsi="Arial Narrow"/>
        </w:rPr>
      </w:pPr>
      <w:hyperlink r:id="rId9" w:history="1">
        <w:r w:rsidR="00ED06BE" w:rsidRPr="00032D60">
          <w:rPr>
            <w:rStyle w:val="Hyperlink"/>
            <w:rFonts w:ascii="Arial Narrow" w:hAnsi="Arial Narrow"/>
          </w:rPr>
          <w:t>http://waterwatch.usgs.gov/?id=ww_toolkit</w:t>
        </w:r>
      </w:hyperlink>
    </w:p>
    <w:p w:rsidR="00ED06BE" w:rsidRPr="00032D60" w:rsidRDefault="00ED06BE" w:rsidP="00ED06BE">
      <w:pPr>
        <w:rPr>
          <w:rFonts w:ascii="Arial Narrow" w:hAnsi="Arial Narrow"/>
        </w:rPr>
      </w:pPr>
      <w:r w:rsidRPr="00032D6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017AF1" w:rsidRDefault="00017AF1" w:rsidP="00ED06BE">
      <w:pPr>
        <w:rPr>
          <w:rFonts w:ascii="Arial Narrow" w:hAnsi="Arial Narrow"/>
          <w:noProof/>
        </w:rPr>
      </w:pPr>
    </w:p>
    <w:p w:rsidR="00017AF1" w:rsidRPr="00032D60" w:rsidRDefault="00017AF1" w:rsidP="00ED06BE">
      <w:pPr>
        <w:rPr>
          <w:rFonts w:ascii="Arial Narrow" w:hAnsi="Arial Narrow"/>
          <w:noProof/>
        </w:rPr>
      </w:pPr>
    </w:p>
    <w:p w:rsidR="00ED06BE" w:rsidRPr="00032D60" w:rsidRDefault="00ED06BE" w:rsidP="00ED06BE">
      <w:pPr>
        <w:rPr>
          <w:rFonts w:ascii="Arial Narrow" w:hAnsi="Arial Narrow"/>
          <w:noProof/>
        </w:rPr>
      </w:pPr>
      <w:r w:rsidRPr="00032D60">
        <w:rPr>
          <w:rFonts w:ascii="Arial Narrow" w:hAnsi="Arial Narrow"/>
          <w:noProof/>
        </w:rPr>
        <w:t>A description of the statistics presented for this streamgage is available in the main body of the report at:</w:t>
      </w:r>
    </w:p>
    <w:p w:rsidR="00ED06BE" w:rsidRDefault="00460B03" w:rsidP="00ED06BE">
      <w:pPr>
        <w:jc w:val="center"/>
        <w:rPr>
          <w:rFonts w:ascii="Arial Narrow" w:hAnsi="Arial Narrow"/>
          <w:noProof/>
        </w:rPr>
      </w:pPr>
      <w:hyperlink r:id="rId10" w:history="1">
        <w:r w:rsidRPr="00783395">
          <w:rPr>
            <w:rStyle w:val="Hyperlink"/>
            <w:rFonts w:ascii="Arial Narrow" w:hAnsi="Arial Narrow"/>
            <w:noProof/>
          </w:rPr>
          <w:t>http://dx.doi.org/10.3133/ofr20151214</w:t>
        </w:r>
      </w:hyperlink>
      <w:bookmarkStart w:id="0" w:name="_GoBack"/>
      <w:bookmarkEnd w:id="0"/>
    </w:p>
    <w:p w:rsidR="00ED06BE" w:rsidRPr="00032D60" w:rsidRDefault="00974CBE" w:rsidP="00ED06BE">
      <w:pPr>
        <w:rPr>
          <w:rFonts w:ascii="Arial Narrow" w:hAnsi="Arial Narrow"/>
          <w:noProof/>
        </w:rPr>
      </w:pPr>
      <w:r>
        <w:rPr>
          <w:rFonts w:ascii="Arial Narrow" w:hAnsi="Arial Narrow"/>
          <w:noProof/>
        </w:rPr>
        <w:t>A link</w:t>
      </w:r>
      <w:r w:rsidR="00ED06BE" w:rsidRPr="00032D6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7120E5" w:rsidRPr="00C65DB3" w:rsidRDefault="007120E5" w:rsidP="004B4EBA">
      <w:pPr>
        <w:jc w:val="center"/>
        <w:rPr>
          <w:rFonts w:ascii="Arial Narrow" w:hAnsi="Arial Narrow"/>
          <w:color w:val="0000FF" w:themeColor="hyperlink"/>
          <w:u w:val="single"/>
        </w:rPr>
      </w:pPr>
    </w:p>
    <w:p w:rsidR="000B2745" w:rsidRPr="00167A5E" w:rsidRDefault="000D2A39" w:rsidP="00677C75">
      <w:pPr>
        <w:jc w:val="center"/>
        <w:rPr>
          <w:b/>
        </w:rPr>
      </w:pPr>
      <w:r>
        <w:rPr>
          <w:b/>
          <w:noProof/>
        </w:rPr>
        <w:drawing>
          <wp:inline distT="0" distB="0" distL="0" distR="0">
            <wp:extent cx="5943600" cy="560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4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02605"/>
                    </a:xfrm>
                    <a:prstGeom prst="rect">
                      <a:avLst/>
                    </a:prstGeom>
                  </pic:spPr>
                </pic:pic>
              </a:graphicData>
            </a:graphic>
          </wp:inline>
        </w:drawing>
      </w:r>
    </w:p>
    <w:p w:rsidR="0062756C" w:rsidRDefault="0062756C" w:rsidP="00303848"/>
    <w:p w:rsidR="00B23356" w:rsidRDefault="00B23356" w:rsidP="00303848"/>
    <w:p w:rsidR="007120E5" w:rsidRDefault="007120E5" w:rsidP="00830722">
      <w:pPr>
        <w:spacing w:after="0"/>
        <w:jc w:val="center"/>
        <w:rPr>
          <w:b/>
          <w:noProof/>
        </w:rPr>
      </w:pPr>
    </w:p>
    <w:p w:rsidR="006F0377" w:rsidRDefault="00D47C6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5676583</wp:posOffset>
                </wp:positionV>
                <wp:extent cx="214313" cy="157162"/>
                <wp:effectExtent l="0" t="0" r="0" b="0"/>
                <wp:wrapNone/>
                <wp:docPr id="2" name="Rectangle 2"/>
                <wp:cNvGraphicFramePr/>
                <a:graphic xmlns:a="http://schemas.openxmlformats.org/drawingml/2006/main">
                  <a:graphicData uri="http://schemas.microsoft.com/office/word/2010/wordprocessingShape">
                    <wps:wsp>
                      <wps:cNvSpPr/>
                      <wps:spPr>
                        <a:xfrm>
                          <a:off x="0" y="0"/>
                          <a:ext cx="214313"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75pt;margin-top:447pt;width:16.9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" fillcolor="white [3212]" stroked="f" strokeweight="2pt"/>
            </w:pict>
          </mc:Fallback>
        </mc:AlternateContent>
      </w:r>
      <w:r w:rsidR="006F0377">
        <w:rPr>
          <w:b/>
          <w:noProof/>
        </w:rPr>
        <w:drawing>
          <wp:inline distT="0" distB="0" distL="0" distR="0">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4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017AF1" w:rsidRPr="00572EF1" w:rsidRDefault="00017AF1" w:rsidP="00584D86">
      <w:pPr>
        <w:rPr>
          <w:b/>
          <w:noProof/>
          <w:sz w:val="28"/>
          <w:szCs w:val="28"/>
        </w:rPr>
      </w:pPr>
    </w:p>
    <w:p w:rsidR="00635780" w:rsidRPr="00635780" w:rsidRDefault="006F0377" w:rsidP="00572EF1">
      <w:pPr>
        <w:jc w:val="center"/>
        <w:rPr>
          <w:sz w:val="24"/>
          <w:szCs w:val="24"/>
        </w:rPr>
      </w:pPr>
      <w:r>
        <w:rPr>
          <w:noProof/>
          <w:sz w:val="24"/>
          <w:szCs w:val="24"/>
        </w:rPr>
        <w:drawing>
          <wp:inline distT="0" distB="0" distL="0" distR="0">
            <wp:extent cx="5943600" cy="5866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4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61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373"/>
        <w:gridCol w:w="875"/>
        <w:gridCol w:w="875"/>
        <w:gridCol w:w="875"/>
        <w:gridCol w:w="875"/>
        <w:gridCol w:w="875"/>
        <w:gridCol w:w="875"/>
        <w:gridCol w:w="875"/>
        <w:gridCol w:w="875"/>
        <w:gridCol w:w="875"/>
        <w:gridCol w:w="875"/>
        <w:gridCol w:w="875"/>
        <w:gridCol w:w="875"/>
        <w:gridCol w:w="875"/>
        <w:gridCol w:w="846"/>
        <w:gridCol w:w="820"/>
      </w:tblGrid>
      <w:tr w:rsidR="006F0377" w:rsidRPr="006F0377" w:rsidTr="006F0377">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05474500 Monthly and annual flow durations, based on 1881–2013 period of record (133 years)</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sz w:val="20"/>
                <w:szCs w:val="20"/>
              </w:rPr>
            </w:pPr>
          </w:p>
        </w:tc>
      </w:tr>
      <w:tr w:rsidR="006F0377" w:rsidRPr="006F0377" w:rsidTr="006F0377">
        <w:trPr>
          <w:trHeight w:val="600"/>
          <w:jc w:val="center"/>
        </w:trPr>
        <w:tc>
          <w:tcPr>
            <w:tcW w:w="1373"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Percentage of days discharge equaled or exceeded</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4095" w:type="dxa"/>
            <w:gridSpan w:val="5"/>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Discharge (cubic feet per second)</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Annual flow durations</w:t>
            </w:r>
          </w:p>
        </w:tc>
      </w:tr>
      <w:tr w:rsidR="006F0377" w:rsidRPr="006F0377" w:rsidTr="006F0377">
        <w:trPr>
          <w:trHeight w:val="600"/>
          <w:jc w:val="center"/>
        </w:trPr>
        <w:tc>
          <w:tcPr>
            <w:tcW w:w="1373"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sz w:val="20"/>
                <w:szCs w:val="20"/>
              </w:rPr>
            </w:pP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Oct</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Nov</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Dec</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Jan</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Feb</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Mar</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Apr</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May</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June</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July</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Aug</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Sept</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P-value</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99</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14,900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98</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16,500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19,900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49,900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23,300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37,600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47,300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34,300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26,500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0.262</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29,500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79,600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58,800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32,500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52,100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77,400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64,800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35,700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84,300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34,200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37,500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90,700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76,700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37,600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42,800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0.000</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67,300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37,200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46,800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0.001</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73,100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66,100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52,000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0.001</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34,300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93,900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72,800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57,000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0.001</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50,200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38,500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49,100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63,400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0.001</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54,800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70,800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0.003</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59,900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50,100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89,100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79,100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0.003</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64,700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107,500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57,300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89,000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0.007</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72,600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47,600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58,100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115,800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68,500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101,000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0.011</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81,900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80,200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52,200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116,000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0.018</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91,100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67,500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59,400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73,100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134,500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137,000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0.023</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F161E0" w:rsidP="006F03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0377" w:rsidRPr="006F0377">
              <w:rPr>
                <w:rFonts w:ascii="Calibri" w:eastAsia="Times New Roman" w:hAnsi="Calibri" w:cs="Times New Roman"/>
                <w:color w:val="000000"/>
                <w:sz w:val="20"/>
                <w:szCs w:val="20"/>
              </w:rPr>
              <w:t>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79,300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71,900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167,500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0.007</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F161E0" w:rsidP="006F03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0377" w:rsidRPr="006F0377">
              <w:rPr>
                <w:rFonts w:ascii="Calibri" w:eastAsia="Times New Roman" w:hAnsi="Calibri" w:cs="Times New Roman"/>
                <w:color w:val="000000"/>
                <w:sz w:val="20"/>
                <w:szCs w:val="20"/>
              </w:rPr>
              <w:t>2</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92,600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250,200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203,100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0.011</w:t>
            </w:r>
          </w:p>
        </w:tc>
      </w:tr>
      <w:tr w:rsidR="006F0377" w:rsidRPr="006F0377" w:rsidTr="006F0377">
        <w:trPr>
          <w:trHeight w:val="300"/>
          <w:jc w:val="center"/>
        </w:trPr>
        <w:tc>
          <w:tcPr>
            <w:tcW w:w="1373" w:type="dxa"/>
            <w:tcBorders>
              <w:top w:val="nil"/>
              <w:left w:val="nil"/>
              <w:bottom w:val="single" w:sz="4" w:space="0" w:color="auto"/>
              <w:right w:val="nil"/>
            </w:tcBorders>
            <w:shd w:val="clear" w:color="auto" w:fill="auto"/>
            <w:noWrap/>
            <w:vAlign w:val="bottom"/>
            <w:hideMark/>
          </w:tcPr>
          <w:p w:rsidR="006F0377" w:rsidRPr="006F0377" w:rsidRDefault="00F161E0" w:rsidP="006F03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0377" w:rsidRPr="006F0377">
              <w:rPr>
                <w:rFonts w:ascii="Calibri" w:eastAsia="Times New Roman" w:hAnsi="Calibri" w:cs="Times New Roman"/>
                <w:color w:val="000000"/>
                <w:sz w:val="20"/>
                <w:szCs w:val="20"/>
              </w:rPr>
              <w:t>1</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194,000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148,000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120,000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115,000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141,000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214,000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271,000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273,000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258,000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247,000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174,000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150,000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232,000</w:t>
            </w:r>
          </w:p>
        </w:tc>
        <w:tc>
          <w:tcPr>
            <w:tcW w:w="82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0.156</w:t>
            </w:r>
          </w:p>
        </w:tc>
        <w:tc>
          <w:tcPr>
            <w:tcW w:w="82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tbl>
      <w:tblPr>
        <w:tblW w:w="9483" w:type="dxa"/>
        <w:jc w:val="center"/>
        <w:tblInd w:w="93" w:type="dxa"/>
        <w:tblLook w:val="04A0" w:firstRow="1" w:lastRow="0" w:firstColumn="1" w:lastColumn="0" w:noHBand="0" w:noVBand="1"/>
      </w:tblPr>
      <w:tblGrid>
        <w:gridCol w:w="1791"/>
        <w:gridCol w:w="1577"/>
        <w:gridCol w:w="1692"/>
        <w:gridCol w:w="1557"/>
        <w:gridCol w:w="1557"/>
        <w:gridCol w:w="1309"/>
      </w:tblGrid>
      <w:tr w:rsidR="006F0377" w:rsidRPr="006F0377" w:rsidTr="006F0377">
        <w:trPr>
          <w:trHeight w:val="1200"/>
          <w:jc w:val="center"/>
        </w:trPr>
        <w:tc>
          <w:tcPr>
            <w:tcW w:w="9483" w:type="dxa"/>
            <w:gridSpan w:val="6"/>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lastRenderedPageBreak/>
              <w:t>05474500 Annual exceedance probability of instantaneous peak discharge</w:t>
            </w:r>
            <w:r w:rsidR="007019EC">
              <w:rPr>
                <w:rFonts w:ascii="Calibri" w:eastAsia="Times New Roman" w:hAnsi="Calibri" w:cs="Times New Roman"/>
                <w:color w:val="000000"/>
              </w:rPr>
              <w:t>s, in cubic feet per second (ft</w:t>
            </w:r>
            <w:r w:rsidR="007019EC" w:rsidRPr="00804DA8">
              <w:rPr>
                <w:rFonts w:ascii="Calibri" w:eastAsia="Times New Roman" w:hAnsi="Calibri" w:cs="Times New Roman"/>
                <w:color w:val="000000"/>
                <w:vertAlign w:val="superscript"/>
              </w:rPr>
              <w:t>3</w:t>
            </w:r>
            <w:r w:rsidR="007019EC">
              <w:rPr>
                <w:rFonts w:ascii="Calibri" w:eastAsia="Times New Roman" w:hAnsi="Calibri" w:cs="Times New Roman"/>
                <w:color w:val="000000"/>
              </w:rPr>
              <w:t>/s</w:t>
            </w:r>
            <w:r w:rsidRPr="006F0377">
              <w:rPr>
                <w:rFonts w:ascii="Calibri" w:eastAsia="Times New Roman" w:hAnsi="Calibri" w:cs="Times New Roman"/>
                <w:color w:val="000000"/>
              </w:rPr>
              <w:t>), based on U.S. Army Corps of Engineers regulated flow frequency study</w:t>
            </w:r>
            <w:r w:rsidRPr="006F0377">
              <w:rPr>
                <w:rFonts w:ascii="Calibri" w:eastAsia="Times New Roman" w:hAnsi="Calibri" w:cs="Times New Roman"/>
                <w:color w:val="000000"/>
                <w:vertAlign w:val="superscript"/>
              </w:rPr>
              <w:t>a</w:t>
            </w:r>
            <w:r w:rsidRPr="006F0377">
              <w:rPr>
                <w:rFonts w:ascii="Calibri" w:eastAsia="Times New Roman" w:hAnsi="Calibri" w:cs="Times New Roman"/>
                <w:color w:val="000000"/>
              </w:rPr>
              <w:t>, analysis computed using a systematic record length of 101 years (1898</w:t>
            </w:r>
            <w:r>
              <w:rPr>
                <w:rFonts w:ascii="Calibri" w:eastAsia="Times New Roman" w:hAnsi="Calibri" w:cs="Times New Roman"/>
                <w:color w:val="000000"/>
              </w:rPr>
              <w:t>–</w:t>
            </w:r>
            <w:r w:rsidRPr="006F0377">
              <w:rPr>
                <w:rFonts w:ascii="Calibri" w:eastAsia="Times New Roman" w:hAnsi="Calibri" w:cs="Times New Roman"/>
                <w:color w:val="000000"/>
              </w:rPr>
              <w:t>1998)</w:t>
            </w:r>
          </w:p>
        </w:tc>
      </w:tr>
      <w:tr w:rsidR="006F0377" w:rsidRPr="006F0377" w:rsidTr="006F0377">
        <w:trPr>
          <w:trHeight w:val="300"/>
          <w:jc w:val="center"/>
        </w:trPr>
        <w:tc>
          <w:tcPr>
            <w:tcW w:w="9483" w:type="dxa"/>
            <w:gridSpan w:val="6"/>
            <w:tcBorders>
              <w:top w:val="single" w:sz="4" w:space="0" w:color="auto"/>
              <w:left w:val="nil"/>
              <w:bottom w:val="nil"/>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b/>
                <w:bCs/>
                <w:color w:val="000000"/>
              </w:rPr>
            </w:pPr>
            <w:r w:rsidRPr="006F0377">
              <w:rPr>
                <w:rFonts w:ascii="Calibri" w:eastAsia="Times New Roman" w:hAnsi="Calibri" w:cs="Times New Roman"/>
                <w:b/>
                <w:bCs/>
                <w:color w:val="000000"/>
              </w:rPr>
              <w:t>USACE Regulated Flow Frequency Analysis</w:t>
            </w:r>
          </w:p>
        </w:tc>
      </w:tr>
      <w:tr w:rsidR="006F0377" w:rsidRPr="006F0377" w:rsidTr="006F0377">
        <w:trPr>
          <w:trHeight w:val="300"/>
          <w:jc w:val="center"/>
        </w:trPr>
        <w:tc>
          <w:tcPr>
            <w:tcW w:w="8191" w:type="dxa"/>
            <w:gridSpan w:val="5"/>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[ND, not determined]</w:t>
            </w:r>
          </w:p>
        </w:tc>
        <w:tc>
          <w:tcPr>
            <w:tcW w:w="129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r>
      <w:tr w:rsidR="006F0377" w:rsidRPr="006F0377" w:rsidTr="006F0377">
        <w:trPr>
          <w:trHeight w:val="1052"/>
          <w:jc w:val="center"/>
        </w:trPr>
        <w:tc>
          <w:tcPr>
            <w:tcW w:w="1803"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Annual exceed-ance probability</w:t>
            </w:r>
          </w:p>
        </w:tc>
        <w:tc>
          <w:tcPr>
            <w:tcW w:w="1577"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6F0377">
              <w:rPr>
                <w:rFonts w:ascii="Calibri" w:eastAsia="Times New Roman" w:hAnsi="Calibri" w:cs="Times New Roman"/>
                <w:color w:val="000000"/>
              </w:rPr>
              <w:t>rence interval (years)</w:t>
            </w:r>
          </w:p>
        </w:tc>
        <w:tc>
          <w:tcPr>
            <w:tcW w:w="1699" w:type="dxa"/>
            <w:tcBorders>
              <w:top w:val="nil"/>
              <w:left w:val="nil"/>
              <w:bottom w:val="single" w:sz="4" w:space="0" w:color="auto"/>
              <w:right w:val="nil"/>
            </w:tcBorders>
            <w:shd w:val="clear" w:color="auto" w:fill="auto"/>
            <w:vAlign w:val="bottom"/>
            <w:hideMark/>
          </w:tcPr>
          <w:p w:rsidR="006F0377" w:rsidRPr="006F0377" w:rsidRDefault="007019EC" w:rsidP="006F03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Discharge </w:t>
            </w:r>
            <w:r w:rsidR="009831BB">
              <w:rPr>
                <w:rFonts w:ascii="Calibri" w:eastAsia="Times New Roman" w:hAnsi="Calibri" w:cs="Times New Roman"/>
                <w:color w:val="000000"/>
              </w:rPr>
              <w:t xml:space="preserve"> </w:t>
            </w:r>
            <w:r>
              <w:rPr>
                <w:rFonts w:ascii="Calibri" w:eastAsia="Times New Roman" w:hAnsi="Calibri" w:cs="Times New Roman"/>
                <w:color w:val="000000"/>
              </w:rPr>
              <w:t>(ft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6F0377" w:rsidRPr="006F0377">
              <w:rPr>
                <w:rFonts w:ascii="Calibri" w:eastAsia="Times New Roman" w:hAnsi="Calibri" w:cs="Times New Roman"/>
                <w:color w:val="000000"/>
              </w:rPr>
              <w:t>)</w:t>
            </w:r>
          </w:p>
        </w:tc>
        <w:tc>
          <w:tcPr>
            <w:tcW w:w="1556"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95-percent</w:t>
            </w:r>
            <w:r w:rsidR="007019EC">
              <w:rPr>
                <w:rFonts w:ascii="Calibri" w:eastAsia="Times New Roman" w:hAnsi="Calibri" w:cs="Times New Roman"/>
                <w:color w:val="000000"/>
              </w:rPr>
              <w:t xml:space="preserve"> lower confi-dence interval (ft</w:t>
            </w:r>
            <w:r w:rsidR="007019EC" w:rsidRPr="00804DA8">
              <w:rPr>
                <w:rFonts w:ascii="Calibri" w:eastAsia="Times New Roman" w:hAnsi="Calibri" w:cs="Times New Roman"/>
                <w:color w:val="000000"/>
                <w:vertAlign w:val="superscript"/>
              </w:rPr>
              <w:t>3</w:t>
            </w:r>
            <w:r w:rsidR="007019EC">
              <w:rPr>
                <w:rFonts w:ascii="Calibri" w:eastAsia="Times New Roman" w:hAnsi="Calibri" w:cs="Times New Roman"/>
                <w:color w:val="000000"/>
              </w:rPr>
              <w:t>/s</w:t>
            </w:r>
            <w:r w:rsidRPr="006F0377">
              <w:rPr>
                <w:rFonts w:ascii="Calibri" w:eastAsia="Times New Roman" w:hAnsi="Calibri" w:cs="Times New Roman"/>
                <w:color w:val="000000"/>
              </w:rPr>
              <w:t>)</w:t>
            </w:r>
          </w:p>
        </w:tc>
        <w:tc>
          <w:tcPr>
            <w:tcW w:w="1556"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95-percent</w:t>
            </w:r>
            <w:r w:rsidR="007019EC">
              <w:rPr>
                <w:rFonts w:ascii="Calibri" w:eastAsia="Times New Roman" w:hAnsi="Calibri" w:cs="Times New Roman"/>
                <w:color w:val="000000"/>
              </w:rPr>
              <w:t xml:space="preserve"> upper confi-dence interval (ft</w:t>
            </w:r>
            <w:r w:rsidR="007019EC" w:rsidRPr="00804DA8">
              <w:rPr>
                <w:rFonts w:ascii="Calibri" w:eastAsia="Times New Roman" w:hAnsi="Calibri" w:cs="Times New Roman"/>
                <w:color w:val="000000"/>
                <w:vertAlign w:val="superscript"/>
              </w:rPr>
              <w:t>3</w:t>
            </w:r>
            <w:r w:rsidR="007019EC">
              <w:rPr>
                <w:rFonts w:ascii="Calibri" w:eastAsia="Times New Roman" w:hAnsi="Calibri" w:cs="Times New Roman"/>
                <w:color w:val="000000"/>
              </w:rPr>
              <w:t>/s</w:t>
            </w:r>
            <w:r w:rsidRPr="006F0377">
              <w:rPr>
                <w:rFonts w:ascii="Calibri" w:eastAsia="Times New Roman" w:hAnsi="Calibri" w:cs="Times New Roman"/>
                <w:color w:val="000000"/>
              </w:rPr>
              <w:t>)</w:t>
            </w:r>
          </w:p>
        </w:tc>
        <w:tc>
          <w:tcPr>
            <w:tcW w:w="129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0.500</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178,000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0.200</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228,000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0.100</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262,000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0.040</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298,000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0.020</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331,000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0.010</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100</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366,000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0.005</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200</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394,000</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r>
      <w:tr w:rsidR="006F0377" w:rsidRPr="006F0377" w:rsidTr="006F0377">
        <w:trPr>
          <w:trHeight w:val="300"/>
          <w:jc w:val="center"/>
        </w:trPr>
        <w:tc>
          <w:tcPr>
            <w:tcW w:w="180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0.002</w:t>
            </w:r>
          </w:p>
        </w:tc>
        <w:tc>
          <w:tcPr>
            <w:tcW w:w="157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500</w:t>
            </w:r>
          </w:p>
        </w:tc>
        <w:tc>
          <w:tcPr>
            <w:tcW w:w="169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429,000</w:t>
            </w:r>
          </w:p>
        </w:tc>
        <w:tc>
          <w:tcPr>
            <w:tcW w:w="155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55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29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r>
      <w:tr w:rsidR="006F0377" w:rsidRPr="006F0377" w:rsidTr="006F0377">
        <w:trPr>
          <w:trHeight w:val="1340"/>
          <w:jc w:val="center"/>
        </w:trPr>
        <w:tc>
          <w:tcPr>
            <w:tcW w:w="9483" w:type="dxa"/>
            <w:gridSpan w:val="6"/>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vertAlign w:val="superscript"/>
              </w:rPr>
              <w:t>a</w:t>
            </w:r>
            <w:r w:rsidRPr="006F0377">
              <w:rPr>
                <w:rFonts w:ascii="Calibri" w:eastAsia="Times New Roman" w:hAnsi="Calibri" w:cs="Times New Roman"/>
                <w:color w:val="000000"/>
              </w:rPr>
              <w:t>U.S. Army Corps of Engineers, 2004</w:t>
            </w:r>
            <w:r w:rsidR="00FF513C">
              <w:rPr>
                <w:rFonts w:ascii="Calibri" w:eastAsia="Times New Roman" w:hAnsi="Calibri" w:cs="Times New Roman"/>
                <w:color w:val="000000"/>
              </w:rPr>
              <w:t>b</w:t>
            </w:r>
            <w:r w:rsidRPr="006F0377">
              <w:rPr>
                <w:rFonts w:ascii="Calibri" w:eastAsia="Times New Roman" w:hAnsi="Calibri" w:cs="Times New Roman"/>
                <w:color w:val="000000"/>
              </w:rPr>
              <w:t>, Upper Mississippi River System Flow Frequency Study, Hydrology and Hydraulics Appendix C Mississippi River, Rock Island District: U.S. Army Corps of Engineers, 50 p., acessed September 9, 2014, at http://www.mvr.usace.army.mil/Portals/48/docs/FRM/UpperMissFlowFreq/App.%20C%20Rock%20Island%20Dist.%20Mississippi%20River%20Hydrology_Hydraulics.pdf.</w:t>
            </w:r>
          </w:p>
        </w:tc>
      </w:tr>
      <w:tr w:rsidR="006F0377" w:rsidRPr="006F0377" w:rsidTr="006F0377">
        <w:trPr>
          <w:trHeight w:val="300"/>
          <w:jc w:val="center"/>
        </w:trPr>
        <w:tc>
          <w:tcPr>
            <w:tcW w:w="9483" w:type="dxa"/>
            <w:gridSpan w:val="6"/>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b/>
                <w:bCs/>
                <w:color w:val="000000"/>
              </w:rPr>
            </w:pPr>
            <w:r w:rsidRPr="006F0377">
              <w:rPr>
                <w:rFonts w:ascii="Calibri" w:eastAsia="Times New Roman" w:hAnsi="Calibri" w:cs="Times New Roman"/>
                <w:b/>
                <w:bCs/>
                <w:color w:val="000000"/>
              </w:rPr>
              <w:t>USGS Kendall's Tau Trend Analysis</w:t>
            </w:r>
          </w:p>
        </w:tc>
      </w:tr>
      <w:tr w:rsidR="006F0377" w:rsidRPr="006F0377" w:rsidTr="006F0377">
        <w:trPr>
          <w:trHeight w:val="300"/>
          <w:jc w:val="center"/>
        </w:trPr>
        <w:tc>
          <w:tcPr>
            <w:tcW w:w="3380" w:type="dxa"/>
            <w:gridSpan w:val="2"/>
            <w:tcBorders>
              <w:top w:val="single" w:sz="4" w:space="0" w:color="auto"/>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0.191</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0.155</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-0.189</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0.169</w:t>
            </w: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0.005</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0.007</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0.034</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0.031</w:t>
            </w: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Begin year</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1898</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b</w:t>
            </w:r>
            <w:r w:rsidRPr="006F0377">
              <w:rPr>
                <w:rFonts w:ascii="Calibri" w:eastAsia="Times New Roman" w:hAnsi="Calibri" w:cs="Times New Roman"/>
                <w:color w:val="000000"/>
              </w:rPr>
              <w:t>1878</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c</w:t>
            </w:r>
            <w:r w:rsidRPr="006F0377">
              <w:rPr>
                <w:rFonts w:ascii="Calibri" w:eastAsia="Times New Roman" w:hAnsi="Calibri" w:cs="Times New Roman"/>
                <w:color w:val="000000"/>
              </w:rPr>
              <w:t>1878</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d</w:t>
            </w:r>
            <w:r w:rsidRPr="006F0377">
              <w:rPr>
                <w:rFonts w:ascii="Calibri" w:eastAsia="Times New Roman" w:hAnsi="Calibri" w:cs="Times New Roman"/>
                <w:color w:val="000000"/>
              </w:rPr>
              <w:t>1938</w:t>
            </w:r>
          </w:p>
        </w:tc>
      </w:tr>
      <w:tr w:rsidR="006F0377" w:rsidRPr="006F0377" w:rsidTr="006F0377">
        <w:trPr>
          <w:trHeight w:val="300"/>
          <w:jc w:val="center"/>
        </w:trPr>
        <w:tc>
          <w:tcPr>
            <w:tcW w:w="180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End year</w:t>
            </w:r>
          </w:p>
        </w:tc>
        <w:tc>
          <w:tcPr>
            <w:tcW w:w="157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169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1998</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b</w:t>
            </w:r>
            <w:r w:rsidRPr="006F0377">
              <w:rPr>
                <w:rFonts w:ascii="Calibri" w:eastAsia="Times New Roman" w:hAnsi="Calibri" w:cs="Times New Roman"/>
                <w:color w:val="000000"/>
              </w:rPr>
              <w:t>2013</w:t>
            </w:r>
          </w:p>
        </w:tc>
        <w:tc>
          <w:tcPr>
            <w:tcW w:w="155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c</w:t>
            </w:r>
            <w:r w:rsidRPr="006F0377">
              <w:rPr>
                <w:rFonts w:ascii="Calibri" w:eastAsia="Times New Roman" w:hAnsi="Calibri" w:cs="Times New Roman"/>
                <w:color w:val="000000"/>
              </w:rPr>
              <w:t>1937</w:t>
            </w:r>
          </w:p>
        </w:tc>
        <w:tc>
          <w:tcPr>
            <w:tcW w:w="129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d</w:t>
            </w:r>
            <w:r w:rsidRPr="006F0377">
              <w:rPr>
                <w:rFonts w:ascii="Calibri" w:eastAsia="Times New Roman" w:hAnsi="Calibri" w:cs="Times New Roman"/>
                <w:color w:val="000000"/>
              </w:rPr>
              <w:t>2013</w:t>
            </w:r>
          </w:p>
        </w:tc>
      </w:tr>
      <w:tr w:rsidR="006F0377" w:rsidRPr="006F0377" w:rsidTr="006F0377">
        <w:trPr>
          <w:trHeight w:val="300"/>
          <w:jc w:val="center"/>
        </w:trPr>
        <w:tc>
          <w:tcPr>
            <w:tcW w:w="3380"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Number of peaks</w:t>
            </w:r>
          </w:p>
        </w:tc>
        <w:tc>
          <w:tcPr>
            <w:tcW w:w="169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55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136</w:t>
            </w:r>
          </w:p>
        </w:tc>
        <w:tc>
          <w:tcPr>
            <w:tcW w:w="155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60</w:t>
            </w:r>
          </w:p>
        </w:tc>
        <w:tc>
          <w:tcPr>
            <w:tcW w:w="129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76</w:t>
            </w:r>
          </w:p>
        </w:tc>
      </w:tr>
      <w:tr w:rsidR="006F0377" w:rsidRPr="006F0377" w:rsidTr="006F0377">
        <w:trPr>
          <w:trHeight w:val="602"/>
          <w:jc w:val="center"/>
        </w:trPr>
        <w:tc>
          <w:tcPr>
            <w:tcW w:w="9483" w:type="dxa"/>
            <w:gridSpan w:val="6"/>
            <w:tcBorders>
              <w:top w:val="nil"/>
              <w:left w:val="nil"/>
              <w:bottom w:val="nil"/>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vertAlign w:val="superscript"/>
              </w:rPr>
              <w:t>b</w:t>
            </w:r>
            <w:r w:rsidRPr="006F0377">
              <w:rPr>
                <w:rFonts w:ascii="Calibri" w:eastAsia="Times New Roman" w:hAnsi="Calibri" w:cs="Times New Roman"/>
                <w:color w:val="000000"/>
              </w:rPr>
              <w:t>Kendall's tau trend analysis computed using the entire period of record which is not the same period of record used to compute the above regulated flow frequency analysis</w:t>
            </w:r>
          </w:p>
        </w:tc>
      </w:tr>
      <w:tr w:rsidR="006F0377" w:rsidRPr="006F0377" w:rsidTr="006F0377">
        <w:trPr>
          <w:trHeight w:val="540"/>
          <w:jc w:val="center"/>
        </w:trPr>
        <w:tc>
          <w:tcPr>
            <w:tcW w:w="9483" w:type="dxa"/>
            <w:gridSpan w:val="6"/>
            <w:tcBorders>
              <w:top w:val="nil"/>
              <w:left w:val="nil"/>
              <w:bottom w:val="nil"/>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vertAlign w:val="superscript"/>
              </w:rPr>
              <w:t>c</w:t>
            </w:r>
            <w:r w:rsidRPr="006F0377">
              <w:rPr>
                <w:rFonts w:ascii="Calibri" w:eastAsia="Times New Roman" w:hAnsi="Calibri" w:cs="Times New Roman"/>
                <w:color w:val="000000"/>
              </w:rPr>
              <w:t>Kendall's tau trend analysis computed using the pre-regulated period of record which is not the same period of record used to compute the above regulated flow frequency analysis.</w:t>
            </w:r>
          </w:p>
        </w:tc>
      </w:tr>
      <w:tr w:rsidR="006F0377" w:rsidRPr="006F0377" w:rsidTr="006F0377">
        <w:trPr>
          <w:trHeight w:val="450"/>
          <w:jc w:val="center"/>
        </w:trPr>
        <w:tc>
          <w:tcPr>
            <w:tcW w:w="9483" w:type="dxa"/>
            <w:gridSpan w:val="6"/>
            <w:tcBorders>
              <w:top w:val="nil"/>
              <w:left w:val="nil"/>
              <w:bottom w:val="nil"/>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vertAlign w:val="superscript"/>
              </w:rPr>
              <w:t>d</w:t>
            </w:r>
            <w:r w:rsidRPr="006F0377">
              <w:rPr>
                <w:rFonts w:ascii="Calibri" w:eastAsia="Times New Roman" w:hAnsi="Calibri" w:cs="Times New Roman"/>
                <w:color w:val="000000"/>
              </w:rPr>
              <w:t>Kendall's tau trend analysis computed using the regulated period of record which is not the same period of record used to compute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Default="00290E10" w:rsidP="00567261">
      <w:pPr>
        <w:jc w:val="center"/>
        <w:rPr>
          <w:sz w:val="24"/>
          <w:szCs w:val="24"/>
        </w:rPr>
      </w:pPr>
    </w:p>
    <w:tbl>
      <w:tblPr>
        <w:tblW w:w="7214" w:type="dxa"/>
        <w:jc w:val="center"/>
        <w:tblInd w:w="93" w:type="dxa"/>
        <w:tblLook w:val="04A0" w:firstRow="1" w:lastRow="0" w:firstColumn="1" w:lastColumn="0" w:noHBand="0" w:noVBand="1"/>
      </w:tblPr>
      <w:tblGrid>
        <w:gridCol w:w="1236"/>
        <w:gridCol w:w="925"/>
        <w:gridCol w:w="1139"/>
        <w:gridCol w:w="842"/>
        <w:gridCol w:w="1024"/>
        <w:gridCol w:w="1024"/>
        <w:gridCol w:w="1024"/>
      </w:tblGrid>
      <w:tr w:rsidR="006F0377" w:rsidRPr="006F0377" w:rsidTr="006F0377">
        <w:trPr>
          <w:trHeight w:val="535"/>
          <w:jc w:val="center"/>
        </w:trPr>
        <w:tc>
          <w:tcPr>
            <w:tcW w:w="7214" w:type="dxa"/>
            <w:gridSpan w:val="7"/>
            <w:tcBorders>
              <w:top w:val="nil"/>
              <w:left w:val="nil"/>
              <w:bottom w:val="nil"/>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05474500 Annual exceedance probability of high discharges, based on 1879–2013 period of record (135 years)</w:t>
            </w:r>
          </w:p>
        </w:tc>
      </w:tr>
      <w:tr w:rsidR="006F0377" w:rsidRPr="006F0377" w:rsidTr="006F0377">
        <w:trPr>
          <w:trHeight w:val="268"/>
          <w:jc w:val="center"/>
        </w:trPr>
        <w:tc>
          <w:tcPr>
            <w:tcW w:w="7214" w:type="dxa"/>
            <w:gridSpan w:val="7"/>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[ND, not determined]</w:t>
            </w:r>
          </w:p>
        </w:tc>
      </w:tr>
      <w:tr w:rsidR="006F0377" w:rsidRPr="006F0377" w:rsidTr="006F0377">
        <w:trPr>
          <w:trHeight w:val="602"/>
          <w:jc w:val="center"/>
        </w:trPr>
        <w:tc>
          <w:tcPr>
            <w:tcW w:w="1236"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Annual exceed-ance probability</w:t>
            </w:r>
          </w:p>
        </w:tc>
        <w:tc>
          <w:tcPr>
            <w:tcW w:w="925"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Recur-rence interval (years)</w:t>
            </w:r>
          </w:p>
        </w:tc>
        <w:tc>
          <w:tcPr>
            <w:tcW w:w="5053" w:type="dxa"/>
            <w:gridSpan w:val="5"/>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Maximum average discharge (cubic feet per second) for indicated number of consecutive days</w:t>
            </w:r>
          </w:p>
        </w:tc>
      </w:tr>
      <w:tr w:rsidR="006F0377" w:rsidRPr="006F0377" w:rsidTr="006F0377">
        <w:trPr>
          <w:trHeight w:val="442"/>
          <w:jc w:val="center"/>
        </w:trPr>
        <w:tc>
          <w:tcPr>
            <w:tcW w:w="1236"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925"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139"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w:t>
            </w:r>
          </w:p>
        </w:tc>
        <w:tc>
          <w:tcPr>
            <w:tcW w:w="842"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7</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15</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0.990</w:t>
            </w:r>
          </w:p>
        </w:tc>
        <w:tc>
          <w:tcPr>
            <w:tcW w:w="9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60,400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56,000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49,000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0.950</w:t>
            </w:r>
          </w:p>
        </w:tc>
        <w:tc>
          <w:tcPr>
            <w:tcW w:w="9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1.05</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87,900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81,300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71,800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0.900</w:t>
            </w:r>
          </w:p>
        </w:tc>
        <w:tc>
          <w:tcPr>
            <w:tcW w:w="9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105,000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97,300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86,500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0.800</w:t>
            </w:r>
          </w:p>
        </w:tc>
        <w:tc>
          <w:tcPr>
            <w:tcW w:w="9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129,000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119,000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106,000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0.500</w:t>
            </w:r>
          </w:p>
        </w:tc>
        <w:tc>
          <w:tcPr>
            <w:tcW w:w="925"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2</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180,000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167,000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150,000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0.200</w:t>
            </w:r>
          </w:p>
        </w:tc>
        <w:tc>
          <w:tcPr>
            <w:tcW w:w="925"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5</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236,000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219,000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199,000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0.100</w:t>
            </w:r>
          </w:p>
        </w:tc>
        <w:tc>
          <w:tcPr>
            <w:tcW w:w="925"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266,000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248,000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225,000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0.040</w:t>
            </w:r>
          </w:p>
        </w:tc>
        <w:tc>
          <w:tcPr>
            <w:tcW w:w="925"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25</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297,000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278,000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253,000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0.020</w:t>
            </w:r>
          </w:p>
        </w:tc>
        <w:tc>
          <w:tcPr>
            <w:tcW w:w="925"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50</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317,000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296,000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270,000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0.010</w:t>
            </w:r>
          </w:p>
        </w:tc>
        <w:tc>
          <w:tcPr>
            <w:tcW w:w="925"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100</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333,000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313,000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285,000</w:t>
            </w:r>
          </w:p>
        </w:tc>
      </w:tr>
      <w:tr w:rsidR="006F0377" w:rsidRPr="006F0377" w:rsidTr="006F0377">
        <w:trPr>
          <w:trHeight w:val="268"/>
          <w:jc w:val="center"/>
        </w:trPr>
        <w:tc>
          <w:tcPr>
            <w:tcW w:w="123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0.005</w:t>
            </w:r>
          </w:p>
        </w:tc>
        <w:tc>
          <w:tcPr>
            <w:tcW w:w="925"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200</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348,000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327,000</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298,000</w:t>
            </w:r>
          </w:p>
        </w:tc>
      </w:tr>
      <w:tr w:rsidR="006F0377" w:rsidRPr="006F0377" w:rsidTr="006F0377">
        <w:trPr>
          <w:trHeight w:val="308"/>
          <w:jc w:val="center"/>
        </w:trPr>
        <w:tc>
          <w:tcPr>
            <w:tcW w:w="123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0.002</w:t>
            </w:r>
          </w:p>
        </w:tc>
        <w:tc>
          <w:tcPr>
            <w:tcW w:w="925" w:type="dxa"/>
            <w:tcBorders>
              <w:top w:val="nil"/>
              <w:left w:val="nil"/>
              <w:bottom w:val="single" w:sz="4" w:space="0" w:color="auto"/>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500</w:t>
            </w:r>
          </w:p>
        </w:tc>
        <w:tc>
          <w:tcPr>
            <w:tcW w:w="113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84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a</w:t>
            </w:r>
            <w:r w:rsidRPr="006F0377">
              <w:rPr>
                <w:rFonts w:ascii="Calibri" w:eastAsia="Times New Roman" w:hAnsi="Calibri" w:cs="Times New Roman"/>
                <w:color w:val="000000"/>
              </w:rPr>
              <w:t>360,000</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a</w:t>
            </w:r>
            <w:r w:rsidRPr="006F0377">
              <w:rPr>
                <w:rFonts w:ascii="Calibri" w:eastAsia="Times New Roman" w:hAnsi="Calibri" w:cs="Times New Roman"/>
                <w:color w:val="000000"/>
              </w:rPr>
              <w:t>339,000</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vertAlign w:val="superscript"/>
              </w:rPr>
              <w:t>a</w:t>
            </w:r>
            <w:r w:rsidRPr="006F0377">
              <w:rPr>
                <w:rFonts w:ascii="Calibri" w:eastAsia="Times New Roman" w:hAnsi="Calibri" w:cs="Times New Roman"/>
                <w:color w:val="000000"/>
              </w:rPr>
              <w:t>312,000</w:t>
            </w:r>
          </w:p>
        </w:tc>
      </w:tr>
      <w:tr w:rsidR="006F0377" w:rsidRPr="006F0377" w:rsidTr="006F0377">
        <w:trPr>
          <w:trHeight w:val="268"/>
          <w:jc w:val="center"/>
        </w:trPr>
        <w:tc>
          <w:tcPr>
            <w:tcW w:w="2161" w:type="dxa"/>
            <w:gridSpan w:val="2"/>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13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0.151</w:t>
            </w:r>
          </w:p>
        </w:tc>
        <w:tc>
          <w:tcPr>
            <w:tcW w:w="84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0.151</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0.143</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0.136</w:t>
            </w:r>
          </w:p>
        </w:tc>
        <w:tc>
          <w:tcPr>
            <w:tcW w:w="1024"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0.134</w:t>
            </w:r>
          </w:p>
        </w:tc>
      </w:tr>
      <w:tr w:rsidR="006F0377" w:rsidRPr="006F0377" w:rsidTr="006F0377">
        <w:trPr>
          <w:trHeight w:val="268"/>
          <w:jc w:val="center"/>
        </w:trPr>
        <w:tc>
          <w:tcPr>
            <w:tcW w:w="2161"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13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0.010</w:t>
            </w:r>
          </w:p>
        </w:tc>
        <w:tc>
          <w:tcPr>
            <w:tcW w:w="84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0.009</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0.014</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0.019</w:t>
            </w:r>
          </w:p>
        </w:tc>
        <w:tc>
          <w:tcPr>
            <w:tcW w:w="1024"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0.021</w:t>
            </w:r>
          </w:p>
        </w:tc>
      </w:tr>
      <w:tr w:rsidR="006F0377" w:rsidRPr="006F0377" w:rsidTr="006F0377">
        <w:trPr>
          <w:trHeight w:val="308"/>
          <w:jc w:val="center"/>
        </w:trPr>
        <w:tc>
          <w:tcPr>
            <w:tcW w:w="7214" w:type="dxa"/>
            <w:gridSpan w:val="7"/>
            <w:tcBorders>
              <w:top w:val="single" w:sz="4" w:space="0" w:color="auto"/>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vertAlign w:val="superscript"/>
              </w:rPr>
              <w:t>a</w:t>
            </w:r>
            <w:r w:rsidRPr="006F0377">
              <w:rPr>
                <w:rFonts w:ascii="Calibri" w:eastAsia="Times New Roman" w:hAnsi="Calibri" w:cs="Times New Roman"/>
                <w:color w:val="000000"/>
              </w:rPr>
              <w:t>Based on 1881</w:t>
            </w:r>
            <w:r>
              <w:rPr>
                <w:rFonts w:ascii="Calibri" w:eastAsia="Times New Roman" w:hAnsi="Calibri" w:cs="Times New Roman"/>
                <w:color w:val="000000"/>
              </w:rPr>
              <w:t>–</w:t>
            </w:r>
            <w:r w:rsidRPr="006F0377">
              <w:rPr>
                <w:rFonts w:ascii="Calibri" w:eastAsia="Times New Roman" w:hAnsi="Calibri" w:cs="Times New Roman"/>
                <w:color w:val="000000"/>
              </w:rPr>
              <w:t>2013 period of record (133 years).</w:t>
            </w:r>
          </w:p>
        </w:tc>
      </w:tr>
    </w:tbl>
    <w:p w:rsidR="006F0377" w:rsidRDefault="006F0377" w:rsidP="00567261">
      <w:pPr>
        <w:jc w:val="center"/>
        <w:rPr>
          <w:sz w:val="24"/>
          <w:szCs w:val="24"/>
        </w:rPr>
      </w:pPr>
    </w:p>
    <w:tbl>
      <w:tblPr>
        <w:tblW w:w="10363"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940"/>
      </w:tblGrid>
      <w:tr w:rsidR="006F0377" w:rsidRPr="006F0377" w:rsidTr="006F0377">
        <w:trPr>
          <w:trHeight w:val="600"/>
          <w:jc w:val="center"/>
        </w:trPr>
        <w:tc>
          <w:tcPr>
            <w:tcW w:w="1263"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05474500 Annual nonexceedance probability of low discharges, based on April 1881 to March 2013, period of record (133 years)</w:t>
            </w:r>
          </w:p>
        </w:tc>
        <w:tc>
          <w:tcPr>
            <w:tcW w:w="837"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r>
      <w:tr w:rsidR="006F0377" w:rsidRPr="006F0377" w:rsidTr="006F037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Recur-rence interval (years)</w:t>
            </w:r>
          </w:p>
        </w:tc>
        <w:tc>
          <w:tcPr>
            <w:tcW w:w="8020" w:type="dxa"/>
            <w:gridSpan w:val="9"/>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Minimum average discharge (cubic feet per second)                                                                                    for indicated number of consecutive days</w:t>
            </w:r>
          </w:p>
        </w:tc>
      </w:tr>
      <w:tr w:rsidR="006F0377" w:rsidRPr="006F0377" w:rsidTr="006F0377">
        <w:trPr>
          <w:trHeight w:val="495"/>
          <w:jc w:val="center"/>
        </w:trPr>
        <w:tc>
          <w:tcPr>
            <w:tcW w:w="1263"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120</w:t>
            </w:r>
          </w:p>
        </w:tc>
        <w:tc>
          <w:tcPr>
            <w:tcW w:w="83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183</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6,330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6,860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7,820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9,410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14,700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15,700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7,280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7,840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8,840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16,100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17,300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9,510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18,700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20,200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10,600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21,300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23,200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23,000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25,000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27,500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34,400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38,700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24,600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26,100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30,600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39,400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43,200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47,800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55,100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30,400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46,800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51,500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57,100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66,800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38,800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42,200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48,100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56,600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62,300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69,200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82,300</w:t>
            </w:r>
          </w:p>
        </w:tc>
      </w:tr>
      <w:tr w:rsidR="006F0377" w:rsidRPr="006F0377" w:rsidTr="006F0377">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38,800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42,900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46,900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53,700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64,100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70,800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78,600</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94,500</w:t>
            </w:r>
          </w:p>
        </w:tc>
      </w:tr>
      <w:tr w:rsidR="006F0377" w:rsidRPr="006F0377" w:rsidTr="006F0377">
        <w:trPr>
          <w:trHeight w:val="300"/>
          <w:jc w:val="center"/>
        </w:trPr>
        <w:tc>
          <w:tcPr>
            <w:tcW w:w="126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38,700</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42,000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46,800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51,600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59,300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71,800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79,400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88,100</w:t>
            </w:r>
          </w:p>
        </w:tc>
        <w:tc>
          <w:tcPr>
            <w:tcW w:w="83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107,000</w:t>
            </w:r>
          </w:p>
        </w:tc>
      </w:tr>
      <w:tr w:rsidR="006F0377" w:rsidRPr="006F0377" w:rsidTr="006F0377">
        <w:trPr>
          <w:trHeight w:val="300"/>
          <w:jc w:val="center"/>
        </w:trPr>
        <w:tc>
          <w:tcPr>
            <w:tcW w:w="2343" w:type="dxa"/>
            <w:gridSpan w:val="2"/>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0.295</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0.328</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0.359</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0.353</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0.321</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0.305</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0.302</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0.257</w:t>
            </w:r>
          </w:p>
        </w:tc>
        <w:tc>
          <w:tcPr>
            <w:tcW w:w="83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0.197</w:t>
            </w:r>
          </w:p>
        </w:tc>
      </w:tr>
      <w:tr w:rsidR="006F0377" w:rsidRPr="006F0377" w:rsidTr="006F0377">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3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0.001</w:t>
            </w:r>
          </w:p>
        </w:tc>
      </w:tr>
    </w:tbl>
    <w:p w:rsidR="00F643B1" w:rsidRPr="00567261" w:rsidRDefault="00F643B1" w:rsidP="00567261">
      <w:pPr>
        <w:jc w:val="center"/>
        <w:rPr>
          <w:sz w:val="24"/>
          <w:szCs w:val="24"/>
        </w:rPr>
      </w:pPr>
    </w:p>
    <w:tbl>
      <w:tblPr>
        <w:tblW w:w="10332" w:type="dxa"/>
        <w:jc w:val="center"/>
        <w:tblInd w:w="93" w:type="dxa"/>
        <w:tblLook w:val="04A0" w:firstRow="1" w:lastRow="0" w:firstColumn="1" w:lastColumn="0" w:noHBand="0" w:noVBand="1"/>
      </w:tblPr>
      <w:tblGrid>
        <w:gridCol w:w="1357"/>
        <w:gridCol w:w="1017"/>
        <w:gridCol w:w="1225"/>
        <w:gridCol w:w="938"/>
        <w:gridCol w:w="829"/>
        <w:gridCol w:w="940"/>
        <w:gridCol w:w="266"/>
        <w:gridCol w:w="940"/>
        <w:gridCol w:w="940"/>
        <w:gridCol w:w="940"/>
        <w:gridCol w:w="940"/>
      </w:tblGrid>
      <w:tr w:rsidR="006F0377" w:rsidRPr="006F0377" w:rsidTr="006F0377">
        <w:trPr>
          <w:trHeight w:val="600"/>
          <w:jc w:val="center"/>
        </w:trPr>
        <w:tc>
          <w:tcPr>
            <w:tcW w:w="10332" w:type="dxa"/>
            <w:gridSpan w:val="11"/>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05474500 Annual nonexceedance probability of seasonal low discharges, based on February 1880 to September 2013 period of record (133</w:t>
            </w:r>
            <w:r>
              <w:rPr>
                <w:rFonts w:ascii="Calibri" w:eastAsia="Times New Roman" w:hAnsi="Calibri" w:cs="Times New Roman"/>
                <w:color w:val="000000"/>
              </w:rPr>
              <w:t>–</w:t>
            </w:r>
            <w:r w:rsidRPr="006F0377">
              <w:rPr>
                <w:rFonts w:ascii="Calibri" w:eastAsia="Times New Roman" w:hAnsi="Calibri" w:cs="Times New Roman"/>
                <w:color w:val="000000"/>
              </w:rPr>
              <w:t>134 years)</w:t>
            </w:r>
          </w:p>
        </w:tc>
      </w:tr>
      <w:tr w:rsidR="006F0377" w:rsidRPr="006F0377" w:rsidTr="006F0377">
        <w:trPr>
          <w:trHeight w:val="675"/>
          <w:jc w:val="center"/>
        </w:trPr>
        <w:tc>
          <w:tcPr>
            <w:tcW w:w="1357"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Annual nonexceed-ance probability</w:t>
            </w:r>
          </w:p>
        </w:tc>
        <w:tc>
          <w:tcPr>
            <w:tcW w:w="1017"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Recur-rence interval (years)</w:t>
            </w:r>
          </w:p>
        </w:tc>
        <w:tc>
          <w:tcPr>
            <w:tcW w:w="7958" w:type="dxa"/>
            <w:gridSpan w:val="9"/>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Minimum average discharge (cubic feet per second)                                                                          for indicated number of consecutive days</w:t>
            </w:r>
          </w:p>
        </w:tc>
      </w:tr>
      <w:tr w:rsidR="006F0377" w:rsidRPr="006F0377" w:rsidTr="006F0377">
        <w:trPr>
          <w:trHeight w:val="495"/>
          <w:jc w:val="center"/>
        </w:trPr>
        <w:tc>
          <w:tcPr>
            <w:tcW w:w="1357"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017"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225"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30</w:t>
            </w:r>
          </w:p>
        </w:tc>
      </w:tr>
      <w:tr w:rsidR="006F0377" w:rsidRPr="006F0377" w:rsidTr="006F0377">
        <w:trPr>
          <w:trHeight w:val="300"/>
          <w:jc w:val="center"/>
        </w:trPr>
        <w:tc>
          <w:tcPr>
            <w:tcW w:w="1357" w:type="dxa"/>
            <w:tcBorders>
              <w:top w:val="nil"/>
              <w:left w:val="nil"/>
              <w:bottom w:val="nil"/>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p>
        </w:tc>
        <w:tc>
          <w:tcPr>
            <w:tcW w:w="3932" w:type="dxa"/>
            <w:gridSpan w:val="4"/>
            <w:tcBorders>
              <w:top w:val="single" w:sz="4" w:space="0" w:color="auto"/>
              <w:left w:val="nil"/>
              <w:bottom w:val="nil"/>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p>
        </w:tc>
        <w:tc>
          <w:tcPr>
            <w:tcW w:w="3760" w:type="dxa"/>
            <w:gridSpan w:val="4"/>
            <w:tcBorders>
              <w:top w:val="single" w:sz="4" w:space="0" w:color="auto"/>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April-May-June</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w:t>
            </w:r>
          </w:p>
        </w:tc>
        <w:tc>
          <w:tcPr>
            <w:tcW w:w="1017"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9,920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13,800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18,900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21,800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w:t>
            </w:r>
          </w:p>
        </w:tc>
        <w:tc>
          <w:tcPr>
            <w:tcW w:w="1017"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50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15,200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25,800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0.05</w:t>
            </w:r>
          </w:p>
        </w:tc>
        <w:tc>
          <w:tcPr>
            <w:tcW w:w="1017"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20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15,800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17,600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22,500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25,500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32,800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w:t>
            </w:r>
          </w:p>
        </w:tc>
        <w:tc>
          <w:tcPr>
            <w:tcW w:w="1017"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20,200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27,700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40,200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w:t>
            </w:r>
          </w:p>
        </w:tc>
        <w:tc>
          <w:tcPr>
            <w:tcW w:w="1017"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18,000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23,800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39,400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43,200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51,000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0.50</w:t>
            </w:r>
          </w:p>
        </w:tc>
        <w:tc>
          <w:tcPr>
            <w:tcW w:w="1017"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32,900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55,000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60,500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66,100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77,700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0.80</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39,900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45,900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83,200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90,600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98,300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114,000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0.90</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54,800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102,000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119,000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136,000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0.96</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53,000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56,400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66,400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126,000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136,000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146,000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164,000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0.98</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1.02</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52,900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59,500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63,300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75,400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143,000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155,000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165,000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183,000</w:t>
            </w:r>
          </w:p>
        </w:tc>
      </w:tr>
      <w:tr w:rsidR="006F0377" w:rsidRPr="006F0377" w:rsidTr="006F0377">
        <w:trPr>
          <w:trHeight w:val="300"/>
          <w:jc w:val="center"/>
        </w:trPr>
        <w:tc>
          <w:tcPr>
            <w:tcW w:w="135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0.99</w:t>
            </w:r>
          </w:p>
        </w:tc>
        <w:tc>
          <w:tcPr>
            <w:tcW w:w="101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225"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58,200</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66,100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70,400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84,500</w:t>
            </w:r>
          </w:p>
        </w:tc>
        <w:tc>
          <w:tcPr>
            <w:tcW w:w="26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161,000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173,000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184,000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202,000</w:t>
            </w:r>
          </w:p>
        </w:tc>
      </w:tr>
      <w:tr w:rsidR="006F0377" w:rsidRPr="006F0377" w:rsidTr="006F0377">
        <w:trPr>
          <w:trHeight w:val="300"/>
          <w:jc w:val="center"/>
        </w:trPr>
        <w:tc>
          <w:tcPr>
            <w:tcW w:w="2374" w:type="dxa"/>
            <w:gridSpan w:val="2"/>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0.333</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0.364</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0.369</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0.352</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0.054</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0.074</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0.092</w:t>
            </w:r>
          </w:p>
        </w:tc>
      </w:tr>
      <w:tr w:rsidR="006F0377" w:rsidRPr="006F0377" w:rsidTr="006F0377">
        <w:trPr>
          <w:trHeight w:val="300"/>
          <w:jc w:val="center"/>
        </w:trPr>
        <w:tc>
          <w:tcPr>
            <w:tcW w:w="2374"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0.353</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0.206</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0.125</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0.117</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3932" w:type="dxa"/>
            <w:gridSpan w:val="4"/>
            <w:tcBorders>
              <w:top w:val="single" w:sz="4" w:space="0" w:color="auto"/>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3760" w:type="dxa"/>
            <w:gridSpan w:val="4"/>
            <w:tcBorders>
              <w:top w:val="single" w:sz="4" w:space="0" w:color="auto"/>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October-November-December</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w:t>
            </w:r>
          </w:p>
        </w:tc>
        <w:tc>
          <w:tcPr>
            <w:tcW w:w="1017"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10,600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12,800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14,000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7,360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8,780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13,300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w:t>
            </w:r>
          </w:p>
        </w:tc>
        <w:tc>
          <w:tcPr>
            <w:tcW w:w="1017"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50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15,500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8,310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9,850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11,500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14,700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0.05</w:t>
            </w:r>
          </w:p>
        </w:tc>
        <w:tc>
          <w:tcPr>
            <w:tcW w:w="1017"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20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18,000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9,980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13,500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17,000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w:t>
            </w:r>
          </w:p>
        </w:tc>
        <w:tc>
          <w:tcPr>
            <w:tcW w:w="1017" w:type="dxa"/>
            <w:tcBorders>
              <w:top w:val="nil"/>
              <w:left w:val="nil"/>
              <w:bottom w:val="nil"/>
              <w:right w:val="nil"/>
            </w:tcBorders>
            <w:shd w:val="clear" w:color="auto" w:fill="auto"/>
            <w:noWrap/>
            <w:vAlign w:val="bottom"/>
            <w:hideMark/>
          </w:tcPr>
          <w:p w:rsidR="006F0377" w:rsidRPr="006F0377" w:rsidRDefault="006F0377" w:rsidP="00F161E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10</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20,700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13,700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15,700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19,500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w:t>
            </w:r>
          </w:p>
        </w:tc>
        <w:tc>
          <w:tcPr>
            <w:tcW w:w="1017"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24,700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18,800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23,200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0.50</w:t>
            </w:r>
          </w:p>
        </w:tc>
        <w:tc>
          <w:tcPr>
            <w:tcW w:w="1017" w:type="dxa"/>
            <w:tcBorders>
              <w:top w:val="nil"/>
              <w:left w:val="nil"/>
              <w:bottom w:val="nil"/>
              <w:right w:val="nil"/>
            </w:tcBorders>
            <w:shd w:val="clear" w:color="auto" w:fill="auto"/>
            <w:noWrap/>
            <w:vAlign w:val="bottom"/>
            <w:hideMark/>
          </w:tcPr>
          <w:p w:rsidR="006F0377" w:rsidRPr="006F0377" w:rsidRDefault="00F161E0" w:rsidP="00F161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26,100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35,100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32,600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0.80</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41,600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51,100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30,900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39,400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47,000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0.90</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46,500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54,400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62,700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37,900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43,200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48,400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57,400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0.96</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58,300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63,200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67,800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78,500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47,100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53,800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60,600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71,500</w:t>
            </w:r>
          </w:p>
        </w:tc>
      </w:tr>
      <w:tr w:rsidR="006F0377" w:rsidRPr="006F0377" w:rsidTr="006F0377">
        <w:trPr>
          <w:trHeight w:val="300"/>
          <w:jc w:val="center"/>
        </w:trPr>
        <w:tc>
          <w:tcPr>
            <w:tcW w:w="135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0.98</w:t>
            </w:r>
          </w:p>
        </w:tc>
        <w:tc>
          <w:tcPr>
            <w:tcW w:w="1017"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1.02</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67,700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73,200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78,600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91,100</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54,300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62,000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70,200</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82,700</w:t>
            </w:r>
          </w:p>
        </w:tc>
      </w:tr>
      <w:tr w:rsidR="006F0377" w:rsidRPr="006F0377" w:rsidTr="006F0377">
        <w:trPr>
          <w:trHeight w:val="300"/>
          <w:jc w:val="center"/>
        </w:trPr>
        <w:tc>
          <w:tcPr>
            <w:tcW w:w="135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0.99</w:t>
            </w:r>
          </w:p>
        </w:tc>
        <w:tc>
          <w:tcPr>
            <w:tcW w:w="1017"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225"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77,700</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83,600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89,900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104,000</w:t>
            </w:r>
          </w:p>
        </w:tc>
        <w:tc>
          <w:tcPr>
            <w:tcW w:w="26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61,800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70,600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80,300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94,500</w:t>
            </w:r>
          </w:p>
        </w:tc>
      </w:tr>
      <w:tr w:rsidR="006F0377" w:rsidRPr="006F0377" w:rsidTr="006F0377">
        <w:trPr>
          <w:trHeight w:val="300"/>
          <w:jc w:val="center"/>
        </w:trPr>
        <w:tc>
          <w:tcPr>
            <w:tcW w:w="2374" w:type="dxa"/>
            <w:gridSpan w:val="2"/>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225"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-0.097</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-0.009</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0.022</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0.072</w:t>
            </w:r>
          </w:p>
        </w:tc>
        <w:tc>
          <w:tcPr>
            <w:tcW w:w="266"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0.326</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0.372</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0.372</w:t>
            </w:r>
          </w:p>
        </w:tc>
        <w:tc>
          <w:tcPr>
            <w:tcW w:w="94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0.299</w:t>
            </w:r>
          </w:p>
        </w:tc>
      </w:tr>
      <w:tr w:rsidR="006F0377" w:rsidRPr="006F0377" w:rsidTr="006F0377">
        <w:trPr>
          <w:trHeight w:val="300"/>
          <w:jc w:val="center"/>
        </w:trPr>
        <w:tc>
          <w:tcPr>
            <w:tcW w:w="2374"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225"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0.097</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0.876</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0.703</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0.220</w:t>
            </w:r>
          </w:p>
        </w:tc>
        <w:tc>
          <w:tcPr>
            <w:tcW w:w="266"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c>
          <w:tcPr>
            <w:tcW w:w="94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373"/>
        <w:gridCol w:w="875"/>
        <w:gridCol w:w="875"/>
        <w:gridCol w:w="875"/>
        <w:gridCol w:w="875"/>
        <w:gridCol w:w="875"/>
        <w:gridCol w:w="875"/>
        <w:gridCol w:w="875"/>
        <w:gridCol w:w="875"/>
        <w:gridCol w:w="875"/>
        <w:gridCol w:w="875"/>
        <w:gridCol w:w="875"/>
        <w:gridCol w:w="875"/>
        <w:gridCol w:w="875"/>
        <w:gridCol w:w="846"/>
        <w:gridCol w:w="820"/>
      </w:tblGrid>
      <w:tr w:rsidR="006F0377" w:rsidRPr="006F0377" w:rsidTr="006F0377">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05474500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sz w:val="20"/>
                <w:szCs w:val="20"/>
              </w:rPr>
            </w:pPr>
          </w:p>
        </w:tc>
      </w:tr>
      <w:tr w:rsidR="006F0377" w:rsidRPr="006F0377" w:rsidTr="006F0377">
        <w:trPr>
          <w:trHeight w:val="600"/>
          <w:jc w:val="center"/>
        </w:trPr>
        <w:tc>
          <w:tcPr>
            <w:tcW w:w="1373"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Percentage of days discharge equaled or exceeded</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4095" w:type="dxa"/>
            <w:gridSpan w:val="5"/>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Discharge (cubic feet per second)</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Annual flow durations</w:t>
            </w:r>
          </w:p>
        </w:tc>
      </w:tr>
      <w:tr w:rsidR="006F0377" w:rsidRPr="006F0377" w:rsidTr="006F0377">
        <w:trPr>
          <w:trHeight w:val="600"/>
          <w:jc w:val="center"/>
        </w:trPr>
        <w:tc>
          <w:tcPr>
            <w:tcW w:w="1373"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sz w:val="20"/>
                <w:szCs w:val="20"/>
              </w:rPr>
            </w:pP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Oct</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Nov</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Dec</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Jan</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Feb</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Mar</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Apr</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May</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June</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July</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Aug</w:t>
            </w:r>
          </w:p>
        </w:tc>
        <w:tc>
          <w:tcPr>
            <w:tcW w:w="819" w:type="dxa"/>
            <w:tcBorders>
              <w:top w:val="nil"/>
              <w:left w:val="nil"/>
              <w:bottom w:val="single" w:sz="4" w:space="0" w:color="auto"/>
              <w:right w:val="nil"/>
            </w:tcBorders>
            <w:shd w:val="clear" w:color="000000" w:fill="FFFFFF"/>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Sept</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P-value</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99</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16,900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0.605</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98</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44,300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19,900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0.521</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54,200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25,400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0.443</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30,600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0.412</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74,700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72,400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35,200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0.318</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32,500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38,900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61,400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83,700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83,600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50,800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31,700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39,600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0.309</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93,100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76,300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58,900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33,900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43,100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0.382</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43,200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36,600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82,100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65,300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46,800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0.326</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39,600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41,300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38,500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73,600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108,600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109,200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73,200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0.363</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43,600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76,900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91,200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78,500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55,200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0.382</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52,300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47,900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80,900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96,400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82,400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42,900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60,200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0.486</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47,900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43,700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50,300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86,300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130,900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86,600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54,800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65,200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0.454</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52,100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46,400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90,100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71,100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0.454</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64,800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48,100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54,100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94,200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61,900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77,700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0.392</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62,600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108,200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99,400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85,900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0.972</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69,800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74,900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53,200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115,800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166,800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68,600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95,500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0.669</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78,400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80,100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56,400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64,800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123,700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74,500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66,100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107,400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0.748</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86,400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66,900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68,600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183,200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175,500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84,400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72,300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122,000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0.544</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97,700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97,200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70,300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63,200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78,300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199,300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97,400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77,800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143,000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0.326</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121,000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74,400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68,600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92,100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224,000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203,400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94,700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163,000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0.239</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707440" w:rsidP="006F03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0377" w:rsidRPr="006F0377">
              <w:rPr>
                <w:rFonts w:ascii="Calibri" w:eastAsia="Times New Roman" w:hAnsi="Calibri" w:cs="Times New Roman"/>
                <w:color w:val="000000"/>
                <w:sz w:val="20"/>
                <w:szCs w:val="20"/>
              </w:rPr>
              <w:t>5</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155,000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119,000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96,300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78,000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170,000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249,700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233,000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193,000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0.454</w:t>
            </w:r>
          </w:p>
        </w:tc>
      </w:tr>
      <w:tr w:rsidR="006F0377" w:rsidRPr="006F0377" w:rsidTr="006F0377">
        <w:trPr>
          <w:trHeight w:val="300"/>
          <w:jc w:val="center"/>
        </w:trPr>
        <w:tc>
          <w:tcPr>
            <w:tcW w:w="1373" w:type="dxa"/>
            <w:tcBorders>
              <w:top w:val="nil"/>
              <w:left w:val="nil"/>
              <w:bottom w:val="nil"/>
              <w:right w:val="nil"/>
            </w:tcBorders>
            <w:shd w:val="clear" w:color="auto" w:fill="auto"/>
            <w:noWrap/>
            <w:vAlign w:val="bottom"/>
            <w:hideMark/>
          </w:tcPr>
          <w:p w:rsidR="006F0377" w:rsidRPr="006F0377" w:rsidRDefault="00707440" w:rsidP="006F03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0377" w:rsidRPr="006F0377">
              <w:rPr>
                <w:rFonts w:ascii="Calibri" w:eastAsia="Times New Roman" w:hAnsi="Calibri" w:cs="Times New Roman"/>
                <w:color w:val="000000"/>
                <w:sz w:val="20"/>
                <w:szCs w:val="20"/>
              </w:rPr>
              <w:t>2</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196,000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139,000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126,000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91,500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200,000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282,000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278,700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267,000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384,000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216,000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158,000</w:t>
            </w:r>
          </w:p>
        </w:tc>
        <w:tc>
          <w:tcPr>
            <w:tcW w:w="81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236,000</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0.708</w:t>
            </w:r>
          </w:p>
        </w:tc>
      </w:tr>
      <w:tr w:rsidR="006F0377" w:rsidRPr="006F0377" w:rsidTr="006F0377">
        <w:trPr>
          <w:trHeight w:val="300"/>
          <w:jc w:val="center"/>
        </w:trPr>
        <w:tc>
          <w:tcPr>
            <w:tcW w:w="1373" w:type="dxa"/>
            <w:tcBorders>
              <w:top w:val="nil"/>
              <w:left w:val="nil"/>
              <w:bottom w:val="single" w:sz="4" w:space="0" w:color="auto"/>
              <w:right w:val="nil"/>
            </w:tcBorders>
            <w:shd w:val="clear" w:color="auto" w:fill="auto"/>
            <w:noWrap/>
            <w:vAlign w:val="bottom"/>
            <w:hideMark/>
          </w:tcPr>
          <w:p w:rsidR="006F0377" w:rsidRPr="006F0377" w:rsidRDefault="00707440" w:rsidP="006F03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0377" w:rsidRPr="006F0377">
              <w:rPr>
                <w:rFonts w:ascii="Calibri" w:eastAsia="Times New Roman" w:hAnsi="Calibri" w:cs="Times New Roman"/>
                <w:color w:val="000000"/>
                <w:sz w:val="20"/>
                <w:szCs w:val="20"/>
              </w:rPr>
              <w:t>1</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240,000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157,000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133,000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103,000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161,000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207,000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299,100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294,500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308,000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402,000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245,000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183,000</w:t>
            </w:r>
          </w:p>
        </w:tc>
        <w:tc>
          <w:tcPr>
            <w:tcW w:w="81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266,000</w:t>
            </w:r>
          </w:p>
        </w:tc>
        <w:tc>
          <w:tcPr>
            <w:tcW w:w="82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0.085</w:t>
            </w:r>
          </w:p>
        </w:tc>
        <w:tc>
          <w:tcPr>
            <w:tcW w:w="82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sz w:val="20"/>
                <w:szCs w:val="20"/>
              </w:rPr>
            </w:pPr>
            <w:r w:rsidRPr="006F0377">
              <w:rPr>
                <w:rFonts w:ascii="Calibri" w:eastAsia="Times New Roman" w:hAnsi="Calibri" w:cs="Times New Roman"/>
                <w:color w:val="000000"/>
                <w:sz w:val="20"/>
                <w:szCs w:val="20"/>
              </w:rPr>
              <w:t>0.521</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467" w:type="dxa"/>
        <w:jc w:val="center"/>
        <w:tblInd w:w="93" w:type="dxa"/>
        <w:tblLook w:val="04A0" w:firstRow="1" w:lastRow="0" w:firstColumn="1" w:lastColumn="0" w:noHBand="0" w:noVBand="1"/>
      </w:tblPr>
      <w:tblGrid>
        <w:gridCol w:w="1272"/>
        <w:gridCol w:w="953"/>
        <w:gridCol w:w="1191"/>
        <w:gridCol w:w="1191"/>
        <w:gridCol w:w="953"/>
        <w:gridCol w:w="953"/>
        <w:gridCol w:w="954"/>
      </w:tblGrid>
      <w:tr w:rsidR="006F0377" w:rsidRPr="006F0377" w:rsidTr="006F0377">
        <w:trPr>
          <w:trHeight w:val="547"/>
          <w:jc w:val="center"/>
        </w:trPr>
        <w:tc>
          <w:tcPr>
            <w:tcW w:w="7467" w:type="dxa"/>
            <w:gridSpan w:val="7"/>
            <w:tcBorders>
              <w:top w:val="nil"/>
              <w:left w:val="nil"/>
              <w:bottom w:val="nil"/>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05474500 Annual exceedance probability of high discharges, based on 1984–2013 period of record (30 years)</w:t>
            </w:r>
          </w:p>
        </w:tc>
      </w:tr>
      <w:tr w:rsidR="006F0377" w:rsidRPr="006F0377" w:rsidTr="006F0377">
        <w:trPr>
          <w:trHeight w:val="274"/>
          <w:jc w:val="center"/>
        </w:trPr>
        <w:tc>
          <w:tcPr>
            <w:tcW w:w="7467" w:type="dxa"/>
            <w:gridSpan w:val="7"/>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[ND, not determined]</w:t>
            </w:r>
          </w:p>
        </w:tc>
      </w:tr>
      <w:tr w:rsidR="006F0377" w:rsidRPr="006F0377" w:rsidTr="006F0377">
        <w:trPr>
          <w:trHeight w:val="616"/>
          <w:jc w:val="center"/>
        </w:trPr>
        <w:tc>
          <w:tcPr>
            <w:tcW w:w="1272"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Annual exceed-ance probability</w:t>
            </w:r>
          </w:p>
        </w:tc>
        <w:tc>
          <w:tcPr>
            <w:tcW w:w="953"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Recur-rence interval (years)</w:t>
            </w:r>
          </w:p>
        </w:tc>
        <w:tc>
          <w:tcPr>
            <w:tcW w:w="5242" w:type="dxa"/>
            <w:gridSpan w:val="5"/>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Maximum average discharge (cubic feet per second) for indicated number of consecutive days</w:t>
            </w:r>
          </w:p>
        </w:tc>
      </w:tr>
      <w:tr w:rsidR="006F0377" w:rsidRPr="006F0377" w:rsidTr="006F0377">
        <w:trPr>
          <w:trHeight w:val="452"/>
          <w:jc w:val="center"/>
        </w:trPr>
        <w:tc>
          <w:tcPr>
            <w:tcW w:w="1272"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953"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191"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w:t>
            </w:r>
          </w:p>
        </w:tc>
        <w:tc>
          <w:tcPr>
            <w:tcW w:w="1191"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7</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15</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0.990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99,900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96,700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85,000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0.950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1.05</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123,000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140,000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137,000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130,000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162,000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157,000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147,000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134,000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0.500</w:t>
            </w:r>
          </w:p>
        </w:tc>
        <w:tc>
          <w:tcPr>
            <w:tcW w:w="953" w:type="dxa"/>
            <w:tcBorders>
              <w:top w:val="nil"/>
              <w:left w:val="nil"/>
              <w:bottom w:val="nil"/>
              <w:right w:val="nil"/>
            </w:tcBorders>
            <w:shd w:val="clear" w:color="auto" w:fill="auto"/>
            <w:noWrap/>
            <w:vAlign w:val="bottom"/>
            <w:hideMark/>
          </w:tcPr>
          <w:p w:rsidR="006F0377" w:rsidRPr="006F0377" w:rsidRDefault="006F0377" w:rsidP="0070744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2</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213,000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205,000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190,000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174,000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0.200</w:t>
            </w:r>
          </w:p>
        </w:tc>
        <w:tc>
          <w:tcPr>
            <w:tcW w:w="953" w:type="dxa"/>
            <w:tcBorders>
              <w:top w:val="nil"/>
              <w:left w:val="nil"/>
              <w:bottom w:val="nil"/>
              <w:right w:val="nil"/>
            </w:tcBorders>
            <w:shd w:val="clear" w:color="auto" w:fill="auto"/>
            <w:noWrap/>
            <w:vAlign w:val="bottom"/>
            <w:hideMark/>
          </w:tcPr>
          <w:p w:rsidR="006F0377" w:rsidRPr="006F0377" w:rsidRDefault="006F0377" w:rsidP="0070744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5</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281,000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270,000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248,000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228,000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0.100</w:t>
            </w:r>
          </w:p>
        </w:tc>
        <w:tc>
          <w:tcPr>
            <w:tcW w:w="953"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326,000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312,000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287,000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262,000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0.040</w:t>
            </w:r>
          </w:p>
        </w:tc>
        <w:tc>
          <w:tcPr>
            <w:tcW w:w="953"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25</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381,000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365,000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336,000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306,000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0.020</w:t>
            </w:r>
          </w:p>
        </w:tc>
        <w:tc>
          <w:tcPr>
            <w:tcW w:w="953"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50</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423,000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405,000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373,000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338,000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0.010</w:t>
            </w:r>
          </w:p>
        </w:tc>
        <w:tc>
          <w:tcPr>
            <w:tcW w:w="953"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100</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464,000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445,000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411,000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369,000</w:t>
            </w:r>
          </w:p>
        </w:tc>
      </w:tr>
      <w:tr w:rsidR="006F0377" w:rsidRPr="006F0377" w:rsidTr="006F0377">
        <w:trPr>
          <w:trHeight w:val="274"/>
          <w:jc w:val="center"/>
        </w:trPr>
        <w:tc>
          <w:tcPr>
            <w:tcW w:w="1272"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0.005</w:t>
            </w:r>
          </w:p>
        </w:tc>
        <w:tc>
          <w:tcPr>
            <w:tcW w:w="953"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200</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505,000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486,000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448,000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401,000</w:t>
            </w:r>
          </w:p>
        </w:tc>
      </w:tr>
      <w:tr w:rsidR="006F0377" w:rsidRPr="006F0377" w:rsidTr="006F0377">
        <w:trPr>
          <w:trHeight w:val="274"/>
          <w:jc w:val="center"/>
        </w:trPr>
        <w:tc>
          <w:tcPr>
            <w:tcW w:w="1272"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0.002</w:t>
            </w:r>
          </w:p>
        </w:tc>
        <w:tc>
          <w:tcPr>
            <w:tcW w:w="953" w:type="dxa"/>
            <w:tcBorders>
              <w:top w:val="nil"/>
              <w:left w:val="nil"/>
              <w:bottom w:val="single" w:sz="4" w:space="0" w:color="auto"/>
              <w:right w:val="nil"/>
            </w:tcBorders>
            <w:shd w:val="clear" w:color="auto" w:fill="auto"/>
            <w:noWrap/>
            <w:vAlign w:val="bottom"/>
            <w:hideMark/>
          </w:tcPr>
          <w:p w:rsidR="006F0377" w:rsidRPr="006F0377"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500</w:t>
            </w:r>
          </w:p>
        </w:tc>
        <w:tc>
          <w:tcPr>
            <w:tcW w:w="119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ND</w:t>
            </w:r>
          </w:p>
        </w:tc>
        <w:tc>
          <w:tcPr>
            <w:tcW w:w="119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561,000</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540,000</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500,000</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444,000</w:t>
            </w:r>
          </w:p>
        </w:tc>
      </w:tr>
      <w:tr w:rsidR="006F0377" w:rsidRPr="006F0377" w:rsidTr="006F0377">
        <w:trPr>
          <w:trHeight w:val="274"/>
          <w:jc w:val="center"/>
        </w:trPr>
        <w:tc>
          <w:tcPr>
            <w:tcW w:w="2225" w:type="dxa"/>
            <w:gridSpan w:val="2"/>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0.113</w:t>
            </w:r>
          </w:p>
        </w:tc>
        <w:tc>
          <w:tcPr>
            <w:tcW w:w="119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0.106</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0.080</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0.039</w:t>
            </w:r>
          </w:p>
        </w:tc>
        <w:tc>
          <w:tcPr>
            <w:tcW w:w="95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0.094</w:t>
            </w:r>
          </w:p>
        </w:tc>
      </w:tr>
      <w:tr w:rsidR="006F0377" w:rsidRPr="006F0377" w:rsidTr="006F0377">
        <w:trPr>
          <w:trHeight w:val="274"/>
          <w:jc w:val="center"/>
        </w:trPr>
        <w:tc>
          <w:tcPr>
            <w:tcW w:w="2225"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19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0.392</w:t>
            </w:r>
          </w:p>
        </w:tc>
        <w:tc>
          <w:tcPr>
            <w:tcW w:w="119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0.422</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0.544</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0.775</w:t>
            </w:r>
          </w:p>
        </w:tc>
        <w:tc>
          <w:tcPr>
            <w:tcW w:w="95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0.475</w:t>
            </w:r>
          </w:p>
        </w:tc>
      </w:tr>
    </w:tbl>
    <w:p w:rsidR="00140959" w:rsidRPr="00140959" w:rsidRDefault="00140959" w:rsidP="00BC45FF">
      <w:pPr>
        <w:rPr>
          <w:sz w:val="28"/>
          <w:szCs w:val="28"/>
        </w:rPr>
      </w:pPr>
    </w:p>
    <w:tbl>
      <w:tblPr>
        <w:tblW w:w="10369" w:type="dxa"/>
        <w:jc w:val="center"/>
        <w:tblLook w:val="04A0" w:firstRow="1" w:lastRow="0" w:firstColumn="1" w:lastColumn="0" w:noHBand="0" w:noVBand="1"/>
      </w:tblPr>
      <w:tblGrid>
        <w:gridCol w:w="1263"/>
        <w:gridCol w:w="1080"/>
        <w:gridCol w:w="1271"/>
        <w:gridCol w:w="938"/>
        <w:gridCol w:w="829"/>
        <w:gridCol w:w="829"/>
        <w:gridCol w:w="829"/>
        <w:gridCol w:w="829"/>
        <w:gridCol w:w="829"/>
        <w:gridCol w:w="829"/>
        <w:gridCol w:w="843"/>
      </w:tblGrid>
      <w:tr w:rsidR="006F0377" w:rsidRPr="006F0377" w:rsidTr="003E466F">
        <w:trPr>
          <w:trHeight w:val="600"/>
          <w:jc w:val="center"/>
        </w:trPr>
        <w:tc>
          <w:tcPr>
            <w:tcW w:w="1263"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05474500 Annual nonexceedance probability of low discharges, based on April 1983 to March 2013, period of record (30 years)</w:t>
            </w:r>
          </w:p>
        </w:tc>
        <w:tc>
          <w:tcPr>
            <w:tcW w:w="843"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 </w:t>
            </w:r>
          </w:p>
        </w:tc>
      </w:tr>
      <w:tr w:rsidR="006F0377" w:rsidRPr="006F0377" w:rsidTr="003E466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Recur-rence interval (years)</w:t>
            </w:r>
          </w:p>
        </w:tc>
        <w:tc>
          <w:tcPr>
            <w:tcW w:w="8026" w:type="dxa"/>
            <w:gridSpan w:val="9"/>
            <w:tcBorders>
              <w:top w:val="single" w:sz="4" w:space="0" w:color="auto"/>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Minimum average discharge (cubic feet per second)                                                                                    for indicated number of consecutive days</w:t>
            </w:r>
          </w:p>
        </w:tc>
      </w:tr>
      <w:tr w:rsidR="006F0377" w:rsidRPr="006F0377" w:rsidTr="003E466F">
        <w:trPr>
          <w:trHeight w:val="495"/>
          <w:jc w:val="center"/>
        </w:trPr>
        <w:tc>
          <w:tcPr>
            <w:tcW w:w="1263"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6F0377" w:rsidRPr="006F0377" w:rsidRDefault="006F0377" w:rsidP="006F0377">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120</w:t>
            </w:r>
          </w:p>
        </w:tc>
        <w:tc>
          <w:tcPr>
            <w:tcW w:w="84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183</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6F0377" w:rsidRPr="006F0377" w:rsidRDefault="006F0377" w:rsidP="00707440">
            <w:pPr>
              <w:spacing w:after="0" w:line="240" w:lineRule="auto"/>
              <w:jc w:val="center"/>
              <w:rPr>
                <w:rFonts w:ascii="Calibri" w:eastAsia="Times New Roman" w:hAnsi="Calibri" w:cs="Times New Roman"/>
                <w:color w:val="000000"/>
              </w:rPr>
            </w:pPr>
            <w:r w:rsidRPr="006F0377">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7,350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8,820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15,500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17,600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8,970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16,300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18,500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20,500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11,700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13,200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23,400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25,400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14,500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20,300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26,600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28,200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30,300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17,900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22,000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27,300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34,600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37,100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6F0377" w:rsidRPr="006F0377"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0377" w:rsidRPr="006F0377">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24,400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25,900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36,400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47,500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51,900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29,400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34,900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38,800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54,500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59,900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68,700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31,200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41,500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47,600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55,300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59,100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65,500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77,900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32,500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35,900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39,200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43,800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50,400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59,800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63,000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70,700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87,700</w:t>
            </w:r>
          </w:p>
        </w:tc>
      </w:tr>
      <w:tr w:rsidR="006F0377" w:rsidRPr="006F0377" w:rsidTr="003E466F">
        <w:trPr>
          <w:trHeight w:val="300"/>
          <w:jc w:val="center"/>
        </w:trPr>
        <w:tc>
          <w:tcPr>
            <w:tcW w:w="126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33,000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36,800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40,200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44,900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51,800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62,300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65,100</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73,500</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94,000</w:t>
            </w:r>
          </w:p>
        </w:tc>
      </w:tr>
      <w:tr w:rsidR="006F0377" w:rsidRPr="006F0377" w:rsidTr="003E466F">
        <w:trPr>
          <w:trHeight w:val="300"/>
          <w:jc w:val="center"/>
        </w:trPr>
        <w:tc>
          <w:tcPr>
            <w:tcW w:w="126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33,400</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37,500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40,900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45,700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52,700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64,300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66,600</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75,700</w:t>
            </w:r>
          </w:p>
        </w:tc>
        <w:tc>
          <w:tcPr>
            <w:tcW w:w="84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99,500</w:t>
            </w:r>
          </w:p>
        </w:tc>
      </w:tr>
      <w:tr w:rsidR="006F0377" w:rsidRPr="006F0377" w:rsidTr="003E466F">
        <w:trPr>
          <w:trHeight w:val="300"/>
          <w:jc w:val="center"/>
        </w:trPr>
        <w:tc>
          <w:tcPr>
            <w:tcW w:w="2343" w:type="dxa"/>
            <w:gridSpan w:val="2"/>
            <w:tcBorders>
              <w:top w:val="nil"/>
              <w:left w:val="nil"/>
              <w:bottom w:val="nil"/>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-0.090</w:t>
            </w:r>
          </w:p>
        </w:tc>
        <w:tc>
          <w:tcPr>
            <w:tcW w:w="938"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-0.097</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-0.166</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-0.159</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-0.177</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-0.108</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-0.126</w:t>
            </w:r>
          </w:p>
        </w:tc>
        <w:tc>
          <w:tcPr>
            <w:tcW w:w="829"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-0.168</w:t>
            </w:r>
          </w:p>
        </w:tc>
        <w:tc>
          <w:tcPr>
            <w:tcW w:w="843" w:type="dxa"/>
            <w:tcBorders>
              <w:top w:val="nil"/>
              <w:left w:val="nil"/>
              <w:bottom w:val="nil"/>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-0.182</w:t>
            </w:r>
          </w:p>
        </w:tc>
      </w:tr>
      <w:tr w:rsidR="006F0377" w:rsidRPr="006F0377" w:rsidTr="003E466F">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rPr>
                <w:rFonts w:ascii="Calibri" w:eastAsia="Times New Roman" w:hAnsi="Calibri" w:cs="Times New Roman"/>
                <w:color w:val="000000"/>
              </w:rPr>
            </w:pPr>
            <w:r w:rsidRPr="006F0377">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0.498</w:t>
            </w:r>
          </w:p>
        </w:tc>
        <w:tc>
          <w:tcPr>
            <w:tcW w:w="938"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0.464</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0.205</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0.225</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0.175</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0.412</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0.335</w:t>
            </w:r>
          </w:p>
        </w:tc>
        <w:tc>
          <w:tcPr>
            <w:tcW w:w="829"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0.199</w:t>
            </w:r>
          </w:p>
        </w:tc>
        <w:tc>
          <w:tcPr>
            <w:tcW w:w="843" w:type="dxa"/>
            <w:tcBorders>
              <w:top w:val="nil"/>
              <w:left w:val="nil"/>
              <w:bottom w:val="single" w:sz="4" w:space="0" w:color="auto"/>
              <w:right w:val="nil"/>
            </w:tcBorders>
            <w:shd w:val="clear" w:color="auto" w:fill="auto"/>
            <w:noWrap/>
            <w:vAlign w:val="bottom"/>
            <w:hideMark/>
          </w:tcPr>
          <w:p w:rsidR="006F0377" w:rsidRPr="006F0377" w:rsidRDefault="006F0377" w:rsidP="006F0377">
            <w:pPr>
              <w:spacing w:after="0" w:line="240" w:lineRule="auto"/>
              <w:jc w:val="right"/>
              <w:rPr>
                <w:rFonts w:ascii="Calibri" w:eastAsia="Times New Roman" w:hAnsi="Calibri" w:cs="Times New Roman"/>
                <w:color w:val="000000"/>
              </w:rPr>
            </w:pPr>
            <w:r w:rsidRPr="006F0377">
              <w:rPr>
                <w:rFonts w:ascii="Calibri" w:eastAsia="Times New Roman" w:hAnsi="Calibri" w:cs="Times New Roman"/>
                <w:color w:val="000000"/>
              </w:rPr>
              <w:t>0.164</w:t>
            </w:r>
          </w:p>
        </w:tc>
      </w:tr>
    </w:tbl>
    <w:p w:rsidR="00573674" w:rsidRPr="001515C5" w:rsidRDefault="00573674" w:rsidP="00573674">
      <w:pPr>
        <w:jc w:val="center"/>
        <w:rPr>
          <w:sz w:val="28"/>
          <w:szCs w:val="28"/>
        </w:rPr>
      </w:pPr>
    </w:p>
    <w:p w:rsidR="008E0ADE" w:rsidRDefault="008E0ADE" w:rsidP="00290E10">
      <w:pPr>
        <w:jc w:val="center"/>
      </w:pPr>
    </w:p>
    <w:tbl>
      <w:tblPr>
        <w:tblW w:w="10383" w:type="dxa"/>
        <w:jc w:val="center"/>
        <w:tblInd w:w="93" w:type="dxa"/>
        <w:tblLook w:val="04A0" w:firstRow="1" w:lastRow="0" w:firstColumn="1" w:lastColumn="0" w:noHBand="0" w:noVBand="1"/>
      </w:tblPr>
      <w:tblGrid>
        <w:gridCol w:w="1341"/>
        <w:gridCol w:w="1004"/>
        <w:gridCol w:w="1204"/>
        <w:gridCol w:w="1050"/>
        <w:gridCol w:w="940"/>
        <w:gridCol w:w="940"/>
        <w:gridCol w:w="266"/>
        <w:gridCol w:w="940"/>
        <w:gridCol w:w="940"/>
        <w:gridCol w:w="940"/>
        <w:gridCol w:w="940"/>
      </w:tblGrid>
      <w:tr w:rsidR="003E466F" w:rsidRPr="003E466F" w:rsidTr="003E466F">
        <w:trPr>
          <w:trHeight w:val="600"/>
          <w:jc w:val="center"/>
        </w:trPr>
        <w:tc>
          <w:tcPr>
            <w:tcW w:w="10383" w:type="dxa"/>
            <w:gridSpan w:val="11"/>
            <w:tcBorders>
              <w:top w:val="nil"/>
              <w:left w:val="nil"/>
              <w:bottom w:val="single" w:sz="4" w:space="0" w:color="auto"/>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05474500 Annual nonexceedance probability of seasonal low discharges, based on October 1983 to September 2013 period of record (30 years)</w:t>
            </w:r>
          </w:p>
        </w:tc>
      </w:tr>
      <w:tr w:rsidR="003E466F" w:rsidRPr="003E466F" w:rsidTr="003E466F">
        <w:trPr>
          <w:trHeight w:val="675"/>
          <w:jc w:val="center"/>
        </w:trPr>
        <w:tc>
          <w:tcPr>
            <w:tcW w:w="1341" w:type="dxa"/>
            <w:vMerge w:val="restart"/>
            <w:tcBorders>
              <w:top w:val="nil"/>
              <w:left w:val="nil"/>
              <w:bottom w:val="single" w:sz="4" w:space="0" w:color="000000"/>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Annual nonexceed-ance probability</w:t>
            </w:r>
          </w:p>
        </w:tc>
        <w:tc>
          <w:tcPr>
            <w:tcW w:w="1004" w:type="dxa"/>
            <w:vMerge w:val="restart"/>
            <w:tcBorders>
              <w:top w:val="nil"/>
              <w:left w:val="nil"/>
              <w:bottom w:val="single" w:sz="4" w:space="0" w:color="000000"/>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Recur-rence interval (years)</w:t>
            </w:r>
          </w:p>
        </w:tc>
        <w:tc>
          <w:tcPr>
            <w:tcW w:w="8038" w:type="dxa"/>
            <w:gridSpan w:val="9"/>
            <w:tcBorders>
              <w:top w:val="single" w:sz="4" w:space="0" w:color="auto"/>
              <w:left w:val="nil"/>
              <w:bottom w:val="single" w:sz="4" w:space="0" w:color="auto"/>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Minimum average discharge (cubic feet per second)                                                                          for indicated number of consecutive days</w:t>
            </w:r>
          </w:p>
        </w:tc>
      </w:tr>
      <w:tr w:rsidR="003E466F" w:rsidRPr="003E466F" w:rsidTr="003E466F">
        <w:trPr>
          <w:trHeight w:val="495"/>
          <w:jc w:val="center"/>
        </w:trPr>
        <w:tc>
          <w:tcPr>
            <w:tcW w:w="1341" w:type="dxa"/>
            <w:vMerge/>
            <w:tcBorders>
              <w:top w:val="nil"/>
              <w:left w:val="nil"/>
              <w:bottom w:val="single" w:sz="4" w:space="0" w:color="000000"/>
              <w:right w:val="nil"/>
            </w:tcBorders>
            <w:vAlign w:val="center"/>
            <w:hideMark/>
          </w:tcPr>
          <w:p w:rsidR="003E466F" w:rsidRPr="003E466F" w:rsidRDefault="003E466F" w:rsidP="003E466F">
            <w:pPr>
              <w:spacing w:after="0" w:line="240" w:lineRule="auto"/>
              <w:rPr>
                <w:rFonts w:ascii="Calibri" w:eastAsia="Times New Roman" w:hAnsi="Calibri" w:cs="Times New Roman"/>
                <w:color w:val="000000"/>
              </w:rPr>
            </w:pPr>
          </w:p>
        </w:tc>
        <w:tc>
          <w:tcPr>
            <w:tcW w:w="1004" w:type="dxa"/>
            <w:vMerge/>
            <w:tcBorders>
              <w:top w:val="nil"/>
              <w:left w:val="nil"/>
              <w:bottom w:val="single" w:sz="4" w:space="0" w:color="000000"/>
              <w:right w:val="nil"/>
            </w:tcBorders>
            <w:vAlign w:val="center"/>
            <w:hideMark/>
          </w:tcPr>
          <w:p w:rsidR="003E466F" w:rsidRPr="003E466F" w:rsidRDefault="003E466F" w:rsidP="003E466F">
            <w:pPr>
              <w:spacing w:after="0" w:line="240" w:lineRule="auto"/>
              <w:rPr>
                <w:rFonts w:ascii="Calibri" w:eastAsia="Times New Roman" w:hAnsi="Calibri" w:cs="Times New Roman"/>
                <w:color w:val="000000"/>
              </w:rPr>
            </w:pPr>
          </w:p>
        </w:tc>
        <w:tc>
          <w:tcPr>
            <w:tcW w:w="1204" w:type="dxa"/>
            <w:tcBorders>
              <w:top w:val="nil"/>
              <w:left w:val="nil"/>
              <w:bottom w:val="single" w:sz="4" w:space="0" w:color="auto"/>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1</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14</w:t>
            </w:r>
          </w:p>
        </w:tc>
        <w:tc>
          <w:tcPr>
            <w:tcW w:w="818"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30</w:t>
            </w:r>
          </w:p>
        </w:tc>
      </w:tr>
      <w:tr w:rsidR="003E466F" w:rsidRPr="003E466F" w:rsidTr="003E466F">
        <w:trPr>
          <w:trHeight w:val="300"/>
          <w:jc w:val="center"/>
        </w:trPr>
        <w:tc>
          <w:tcPr>
            <w:tcW w:w="1341" w:type="dxa"/>
            <w:tcBorders>
              <w:top w:val="nil"/>
              <w:left w:val="nil"/>
              <w:bottom w:val="nil"/>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p>
        </w:tc>
        <w:tc>
          <w:tcPr>
            <w:tcW w:w="1004" w:type="dxa"/>
            <w:tcBorders>
              <w:top w:val="nil"/>
              <w:left w:val="nil"/>
              <w:bottom w:val="nil"/>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p>
        </w:tc>
        <w:tc>
          <w:tcPr>
            <w:tcW w:w="4134" w:type="dxa"/>
            <w:gridSpan w:val="4"/>
            <w:tcBorders>
              <w:top w:val="single" w:sz="4" w:space="0" w:color="auto"/>
              <w:left w:val="nil"/>
              <w:bottom w:val="nil"/>
              <w:right w:val="nil"/>
            </w:tcBorders>
            <w:shd w:val="clear" w:color="auto" w:fill="auto"/>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p>
        </w:tc>
        <w:tc>
          <w:tcPr>
            <w:tcW w:w="3638" w:type="dxa"/>
            <w:gridSpan w:val="4"/>
            <w:tcBorders>
              <w:top w:val="single" w:sz="4" w:space="0" w:color="auto"/>
              <w:left w:val="nil"/>
              <w:bottom w:val="nil"/>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April-May-June</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0.01</w:t>
            </w:r>
          </w:p>
        </w:tc>
        <w:tc>
          <w:tcPr>
            <w:tcW w:w="1004" w:type="dxa"/>
            <w:tcBorders>
              <w:top w:val="nil"/>
              <w:left w:val="nil"/>
              <w:bottom w:val="nil"/>
              <w:right w:val="nil"/>
            </w:tcBorders>
            <w:shd w:val="clear" w:color="auto" w:fill="auto"/>
            <w:noWrap/>
            <w:vAlign w:val="bottom"/>
            <w:hideMark/>
          </w:tcPr>
          <w:p w:rsidR="003E466F" w:rsidRPr="003E466F"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466F" w:rsidRPr="003E466F">
              <w:rPr>
                <w:rFonts w:ascii="Calibri" w:eastAsia="Times New Roman" w:hAnsi="Calibri" w:cs="Times New Roman"/>
                <w:color w:val="000000"/>
              </w:rPr>
              <w:t>100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13,400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18,900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23,300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0.02</w:t>
            </w:r>
          </w:p>
        </w:tc>
        <w:tc>
          <w:tcPr>
            <w:tcW w:w="1004" w:type="dxa"/>
            <w:tcBorders>
              <w:top w:val="nil"/>
              <w:left w:val="nil"/>
              <w:bottom w:val="nil"/>
              <w:right w:val="nil"/>
            </w:tcBorders>
            <w:shd w:val="clear" w:color="auto" w:fill="auto"/>
            <w:noWrap/>
            <w:vAlign w:val="bottom"/>
            <w:hideMark/>
          </w:tcPr>
          <w:p w:rsidR="003E466F" w:rsidRPr="003E466F" w:rsidRDefault="003E466F" w:rsidP="00707440">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50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15,000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19,500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21,100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16,900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20,900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22,200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28,200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0.05</w:t>
            </w:r>
          </w:p>
        </w:tc>
        <w:tc>
          <w:tcPr>
            <w:tcW w:w="1004" w:type="dxa"/>
            <w:tcBorders>
              <w:top w:val="nil"/>
              <w:left w:val="nil"/>
              <w:bottom w:val="nil"/>
              <w:right w:val="nil"/>
            </w:tcBorders>
            <w:shd w:val="clear" w:color="auto" w:fill="auto"/>
            <w:noWrap/>
            <w:vAlign w:val="bottom"/>
            <w:hideMark/>
          </w:tcPr>
          <w:p w:rsidR="003E466F" w:rsidRPr="003E466F" w:rsidRDefault="003E466F" w:rsidP="00707440">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20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17,600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20,800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22,700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24,700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23,000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27,800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29,800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37,100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0.10</w:t>
            </w:r>
          </w:p>
        </w:tc>
        <w:tc>
          <w:tcPr>
            <w:tcW w:w="1004" w:type="dxa"/>
            <w:tcBorders>
              <w:top w:val="nil"/>
              <w:left w:val="nil"/>
              <w:bottom w:val="nil"/>
              <w:right w:val="nil"/>
            </w:tcBorders>
            <w:shd w:val="clear" w:color="auto" w:fill="auto"/>
            <w:noWrap/>
            <w:vAlign w:val="bottom"/>
            <w:hideMark/>
          </w:tcPr>
          <w:p w:rsidR="003E466F" w:rsidRPr="003E466F" w:rsidRDefault="003E466F" w:rsidP="00707440">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10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20,100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23,700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25,700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28,100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29,600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35,300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38,100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46,700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0.20</w:t>
            </w:r>
          </w:p>
        </w:tc>
        <w:tc>
          <w:tcPr>
            <w:tcW w:w="1004" w:type="dxa"/>
            <w:tcBorders>
              <w:top w:val="nil"/>
              <w:left w:val="nil"/>
              <w:bottom w:val="nil"/>
              <w:right w:val="nil"/>
            </w:tcBorders>
            <w:shd w:val="clear" w:color="auto" w:fill="auto"/>
            <w:noWrap/>
            <w:vAlign w:val="bottom"/>
            <w:hideMark/>
          </w:tcPr>
          <w:p w:rsidR="003E466F" w:rsidRPr="003E466F"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466F" w:rsidRPr="003E466F">
              <w:rPr>
                <w:rFonts w:ascii="Calibri" w:eastAsia="Times New Roman" w:hAnsi="Calibri" w:cs="Times New Roman"/>
                <w:color w:val="000000"/>
              </w:rPr>
              <w:t>5</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23,500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27,500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29,600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32,500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39,400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46,000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50,000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60,600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0.50</w:t>
            </w:r>
          </w:p>
        </w:tc>
        <w:tc>
          <w:tcPr>
            <w:tcW w:w="1004" w:type="dxa"/>
            <w:tcBorders>
              <w:top w:val="nil"/>
              <w:left w:val="nil"/>
              <w:bottom w:val="nil"/>
              <w:right w:val="nil"/>
            </w:tcBorders>
            <w:shd w:val="clear" w:color="auto" w:fill="auto"/>
            <w:noWrap/>
            <w:vAlign w:val="bottom"/>
            <w:hideMark/>
          </w:tcPr>
          <w:p w:rsidR="003E466F" w:rsidRPr="003E466F"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466F" w:rsidRPr="003E466F">
              <w:rPr>
                <w:rFonts w:ascii="Calibri" w:eastAsia="Times New Roman" w:hAnsi="Calibri" w:cs="Times New Roman"/>
                <w:color w:val="000000"/>
              </w:rPr>
              <w:t>2</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30,700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35,200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37,600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41,500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63,900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72,000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79,000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94,400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0.80</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1.25</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39,000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43,200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45,900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50,700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95,800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104,000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115,000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138,000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0.90</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1.11</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43,600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47,400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50,300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55,400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115,000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123,000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136,000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164,000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0.96</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1.04</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48,600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51,700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54,800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60,200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137,000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144,000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159,000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193,000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0.98</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1.02</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52,000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54,400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57,600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63,100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151,000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158,000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174,000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213,000</w:t>
            </w:r>
          </w:p>
        </w:tc>
      </w:tr>
      <w:tr w:rsidR="003E466F" w:rsidRPr="003E466F" w:rsidTr="003E466F">
        <w:trPr>
          <w:trHeight w:val="300"/>
          <w:jc w:val="center"/>
        </w:trPr>
        <w:tc>
          <w:tcPr>
            <w:tcW w:w="1341"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0.99</w:t>
            </w:r>
          </w:p>
        </w:tc>
        <w:tc>
          <w:tcPr>
            <w:tcW w:w="1004"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1.01</w:t>
            </w:r>
          </w:p>
        </w:tc>
        <w:tc>
          <w:tcPr>
            <w:tcW w:w="1204"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55,000</w:t>
            </w:r>
          </w:p>
        </w:tc>
        <w:tc>
          <w:tcPr>
            <w:tcW w:w="105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56,700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60,000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65,700</w:t>
            </w:r>
          </w:p>
        </w:tc>
        <w:tc>
          <w:tcPr>
            <w:tcW w:w="266"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164,000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170,000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187,000</w:t>
            </w:r>
          </w:p>
        </w:tc>
        <w:tc>
          <w:tcPr>
            <w:tcW w:w="818"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231,000</w:t>
            </w:r>
          </w:p>
        </w:tc>
      </w:tr>
      <w:tr w:rsidR="003E466F" w:rsidRPr="003E466F" w:rsidTr="003E466F">
        <w:trPr>
          <w:trHeight w:val="300"/>
          <w:jc w:val="center"/>
        </w:trPr>
        <w:tc>
          <w:tcPr>
            <w:tcW w:w="2345" w:type="dxa"/>
            <w:gridSpan w:val="2"/>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Kentau statistic</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-0.085</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-0.145</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-0.145</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-0.182</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0.131</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0.163</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0.228</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0.232</w:t>
            </w:r>
          </w:p>
        </w:tc>
      </w:tr>
      <w:tr w:rsidR="003E466F" w:rsidRPr="003E466F" w:rsidTr="003E466F">
        <w:trPr>
          <w:trHeight w:val="300"/>
          <w:jc w:val="center"/>
        </w:trPr>
        <w:tc>
          <w:tcPr>
            <w:tcW w:w="2345" w:type="dxa"/>
            <w:gridSpan w:val="2"/>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P-value</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0.521</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0.269</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0.269</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0.164</w:t>
            </w:r>
          </w:p>
        </w:tc>
        <w:tc>
          <w:tcPr>
            <w:tcW w:w="266"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0.318</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0.212</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0.080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0.074</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4134" w:type="dxa"/>
            <w:gridSpan w:val="4"/>
            <w:tcBorders>
              <w:top w:val="single" w:sz="4" w:space="0" w:color="auto"/>
              <w:left w:val="nil"/>
              <w:bottom w:val="nil"/>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3638" w:type="dxa"/>
            <w:gridSpan w:val="4"/>
            <w:tcBorders>
              <w:top w:val="single" w:sz="4" w:space="0" w:color="auto"/>
              <w:left w:val="nil"/>
              <w:bottom w:val="nil"/>
              <w:right w:val="nil"/>
            </w:tcBorders>
            <w:shd w:val="clear" w:color="auto" w:fill="auto"/>
            <w:noWrap/>
            <w:vAlign w:val="bottom"/>
            <w:hideMark/>
          </w:tcPr>
          <w:p w:rsidR="003E466F" w:rsidRPr="003E466F" w:rsidRDefault="003E466F" w:rsidP="003E466F">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October-November-December</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0.01</w:t>
            </w:r>
          </w:p>
        </w:tc>
        <w:tc>
          <w:tcPr>
            <w:tcW w:w="1004" w:type="dxa"/>
            <w:tcBorders>
              <w:top w:val="nil"/>
              <w:left w:val="nil"/>
              <w:bottom w:val="nil"/>
              <w:right w:val="nil"/>
            </w:tcBorders>
            <w:shd w:val="clear" w:color="auto" w:fill="auto"/>
            <w:noWrap/>
            <w:vAlign w:val="bottom"/>
            <w:hideMark/>
          </w:tcPr>
          <w:p w:rsidR="003E466F" w:rsidRPr="003E466F" w:rsidRDefault="00707440" w:rsidP="007074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466F" w:rsidRPr="003E466F">
              <w:rPr>
                <w:rFonts w:ascii="Calibri" w:eastAsia="Times New Roman" w:hAnsi="Calibri" w:cs="Times New Roman"/>
                <w:color w:val="000000"/>
              </w:rPr>
              <w:t>100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10,600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12,200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14,300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16,100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7,760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12,300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13,200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15,100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0.02</w:t>
            </w:r>
          </w:p>
        </w:tc>
        <w:tc>
          <w:tcPr>
            <w:tcW w:w="1004" w:type="dxa"/>
            <w:tcBorders>
              <w:top w:val="nil"/>
              <w:left w:val="nil"/>
              <w:bottom w:val="nil"/>
              <w:right w:val="nil"/>
            </w:tcBorders>
            <w:shd w:val="clear" w:color="auto" w:fill="auto"/>
            <w:noWrap/>
            <w:vAlign w:val="bottom"/>
            <w:hideMark/>
          </w:tcPr>
          <w:p w:rsidR="003E466F" w:rsidRPr="003E466F" w:rsidRDefault="003E466F" w:rsidP="00707440">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50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11,600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17,700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9,470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14,100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15,300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17,600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0.05</w:t>
            </w:r>
          </w:p>
        </w:tc>
        <w:tc>
          <w:tcPr>
            <w:tcW w:w="1004" w:type="dxa"/>
            <w:tcBorders>
              <w:top w:val="nil"/>
              <w:left w:val="nil"/>
              <w:bottom w:val="nil"/>
              <w:right w:val="nil"/>
            </w:tcBorders>
            <w:shd w:val="clear" w:color="auto" w:fill="auto"/>
            <w:noWrap/>
            <w:vAlign w:val="bottom"/>
            <w:hideMark/>
          </w:tcPr>
          <w:p w:rsidR="003E466F" w:rsidRPr="003E466F" w:rsidRDefault="003E466F" w:rsidP="00707440">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20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13,500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20,500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17,100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18,800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21,700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0.10</w:t>
            </w:r>
          </w:p>
        </w:tc>
        <w:tc>
          <w:tcPr>
            <w:tcW w:w="1004" w:type="dxa"/>
            <w:tcBorders>
              <w:top w:val="nil"/>
              <w:left w:val="nil"/>
              <w:bottom w:val="nil"/>
              <w:right w:val="nil"/>
            </w:tcBorders>
            <w:shd w:val="clear" w:color="auto" w:fill="auto"/>
            <w:noWrap/>
            <w:vAlign w:val="bottom"/>
            <w:hideMark/>
          </w:tcPr>
          <w:p w:rsidR="003E466F" w:rsidRPr="003E466F" w:rsidRDefault="003E466F" w:rsidP="00707440">
            <w:pPr>
              <w:spacing w:after="0" w:line="240" w:lineRule="auto"/>
              <w:jc w:val="center"/>
              <w:rPr>
                <w:rFonts w:ascii="Calibri" w:eastAsia="Times New Roman" w:hAnsi="Calibri" w:cs="Times New Roman"/>
                <w:color w:val="000000"/>
              </w:rPr>
            </w:pPr>
            <w:r w:rsidRPr="003E466F">
              <w:rPr>
                <w:rFonts w:ascii="Calibri" w:eastAsia="Times New Roman" w:hAnsi="Calibri" w:cs="Times New Roman"/>
                <w:color w:val="000000"/>
              </w:rPr>
              <w:t>10</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15,600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20,700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23,700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20,100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22,300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25,800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0.20</w:t>
            </w:r>
          </w:p>
        </w:tc>
        <w:tc>
          <w:tcPr>
            <w:tcW w:w="1004" w:type="dxa"/>
            <w:tcBorders>
              <w:top w:val="nil"/>
              <w:left w:val="nil"/>
              <w:bottom w:val="nil"/>
              <w:right w:val="nil"/>
            </w:tcBorders>
            <w:shd w:val="clear" w:color="auto" w:fill="auto"/>
            <w:noWrap/>
            <w:vAlign w:val="bottom"/>
            <w:hideMark/>
          </w:tcPr>
          <w:p w:rsidR="003E466F" w:rsidRPr="003E466F"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466F" w:rsidRPr="003E466F">
              <w:rPr>
                <w:rFonts w:ascii="Calibri" w:eastAsia="Times New Roman" w:hAnsi="Calibri" w:cs="Times New Roman"/>
                <w:color w:val="000000"/>
              </w:rPr>
              <w:t>5</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18,700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22,100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24,700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28,400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19,500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24,100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27,000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31,300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0.50</w:t>
            </w:r>
          </w:p>
        </w:tc>
        <w:tc>
          <w:tcPr>
            <w:tcW w:w="1004" w:type="dxa"/>
            <w:tcBorders>
              <w:top w:val="nil"/>
              <w:left w:val="nil"/>
              <w:bottom w:val="nil"/>
              <w:right w:val="nil"/>
            </w:tcBorders>
            <w:shd w:val="clear" w:color="auto" w:fill="auto"/>
            <w:noWrap/>
            <w:vAlign w:val="bottom"/>
            <w:hideMark/>
          </w:tcPr>
          <w:p w:rsidR="003E466F" w:rsidRPr="003E466F" w:rsidRDefault="00707440" w:rsidP="0070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466F" w:rsidRPr="003E466F">
              <w:rPr>
                <w:rFonts w:ascii="Calibri" w:eastAsia="Times New Roman" w:hAnsi="Calibri" w:cs="Times New Roman"/>
                <w:color w:val="000000"/>
              </w:rPr>
              <w:t>2</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28,000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32,600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35,700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41,400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27,700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32,500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36,900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43,300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0.80</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1.25</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44,100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49,900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54,000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63,300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35,400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41,600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47,600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56,300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0.90</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1.11</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57,400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63,400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68,200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80,500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38,900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46,300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53,100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63,300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0.96</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1.04</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77,400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82,700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88,800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105,000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41,900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51,200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58,800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70,500</w:t>
            </w:r>
          </w:p>
        </w:tc>
      </w:tr>
      <w:tr w:rsidR="003E466F" w:rsidRPr="003E466F" w:rsidTr="003E466F">
        <w:trPr>
          <w:trHeight w:val="300"/>
          <w:jc w:val="center"/>
        </w:trPr>
        <w:tc>
          <w:tcPr>
            <w:tcW w:w="1341"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0.98</w:t>
            </w:r>
          </w:p>
        </w:tc>
        <w:tc>
          <w:tcPr>
            <w:tcW w:w="10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1.02</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94,900</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99,000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106,000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127,000</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43,400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54,300</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62,300</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74,900</w:t>
            </w:r>
          </w:p>
        </w:tc>
      </w:tr>
      <w:tr w:rsidR="003E466F" w:rsidRPr="003E466F" w:rsidTr="003E466F">
        <w:trPr>
          <w:trHeight w:val="300"/>
          <w:jc w:val="center"/>
        </w:trPr>
        <w:tc>
          <w:tcPr>
            <w:tcW w:w="1341"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0.99</w:t>
            </w:r>
          </w:p>
        </w:tc>
        <w:tc>
          <w:tcPr>
            <w:tcW w:w="1004"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1.01</w:t>
            </w:r>
          </w:p>
        </w:tc>
        <w:tc>
          <w:tcPr>
            <w:tcW w:w="1204"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115,000</w:t>
            </w:r>
          </w:p>
        </w:tc>
        <w:tc>
          <w:tcPr>
            <w:tcW w:w="105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117,000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125,000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150,000</w:t>
            </w:r>
          </w:p>
        </w:tc>
        <w:tc>
          <w:tcPr>
            <w:tcW w:w="266"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44,600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56,900</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65,200</w:t>
            </w:r>
          </w:p>
        </w:tc>
        <w:tc>
          <w:tcPr>
            <w:tcW w:w="818"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78,800</w:t>
            </w:r>
          </w:p>
        </w:tc>
      </w:tr>
      <w:tr w:rsidR="003E466F" w:rsidRPr="003E466F" w:rsidTr="003E466F">
        <w:trPr>
          <w:trHeight w:val="300"/>
          <w:jc w:val="center"/>
        </w:trPr>
        <w:tc>
          <w:tcPr>
            <w:tcW w:w="2345" w:type="dxa"/>
            <w:gridSpan w:val="2"/>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Kentau statistic</w:t>
            </w:r>
          </w:p>
        </w:tc>
        <w:tc>
          <w:tcPr>
            <w:tcW w:w="1204"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-0.039</w:t>
            </w:r>
          </w:p>
        </w:tc>
        <w:tc>
          <w:tcPr>
            <w:tcW w:w="105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-0.108</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-0.136</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-0.046</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-0.177</w:t>
            </w:r>
          </w:p>
        </w:tc>
        <w:tc>
          <w:tcPr>
            <w:tcW w:w="940"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-0.209</w:t>
            </w:r>
          </w:p>
        </w:tc>
        <w:tc>
          <w:tcPr>
            <w:tcW w:w="818" w:type="dxa"/>
            <w:tcBorders>
              <w:top w:val="nil"/>
              <w:left w:val="nil"/>
              <w:bottom w:val="nil"/>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-0.228</w:t>
            </w:r>
          </w:p>
        </w:tc>
      </w:tr>
      <w:tr w:rsidR="003E466F" w:rsidRPr="003E466F" w:rsidTr="003E466F">
        <w:trPr>
          <w:trHeight w:val="300"/>
          <w:jc w:val="center"/>
        </w:trPr>
        <w:tc>
          <w:tcPr>
            <w:tcW w:w="2345" w:type="dxa"/>
            <w:gridSpan w:val="2"/>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P-value</w:t>
            </w:r>
          </w:p>
        </w:tc>
        <w:tc>
          <w:tcPr>
            <w:tcW w:w="1204"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0.775</w:t>
            </w:r>
          </w:p>
        </w:tc>
        <w:tc>
          <w:tcPr>
            <w:tcW w:w="105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0.412</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0.301</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0.521</w:t>
            </w:r>
          </w:p>
        </w:tc>
        <w:tc>
          <w:tcPr>
            <w:tcW w:w="266"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rPr>
                <w:rFonts w:ascii="Calibri" w:eastAsia="Times New Roman" w:hAnsi="Calibri" w:cs="Times New Roman"/>
                <w:color w:val="000000"/>
              </w:rPr>
            </w:pPr>
            <w:r w:rsidRPr="003E466F">
              <w:rPr>
                <w:rFonts w:ascii="Calibri" w:eastAsia="Times New Roman" w:hAnsi="Calibri" w:cs="Times New Roman"/>
                <w:color w:val="000000"/>
              </w:rPr>
              <w:t> </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0.735</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0.175</w:t>
            </w:r>
          </w:p>
        </w:tc>
        <w:tc>
          <w:tcPr>
            <w:tcW w:w="940"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0.108</w:t>
            </w:r>
          </w:p>
        </w:tc>
        <w:tc>
          <w:tcPr>
            <w:tcW w:w="818" w:type="dxa"/>
            <w:tcBorders>
              <w:top w:val="nil"/>
              <w:left w:val="nil"/>
              <w:bottom w:val="single" w:sz="4" w:space="0" w:color="auto"/>
              <w:right w:val="nil"/>
            </w:tcBorders>
            <w:shd w:val="clear" w:color="auto" w:fill="auto"/>
            <w:noWrap/>
            <w:vAlign w:val="bottom"/>
            <w:hideMark/>
          </w:tcPr>
          <w:p w:rsidR="003E466F" w:rsidRPr="003E466F" w:rsidRDefault="003E466F" w:rsidP="003E466F">
            <w:pPr>
              <w:spacing w:after="0" w:line="240" w:lineRule="auto"/>
              <w:jc w:val="right"/>
              <w:rPr>
                <w:rFonts w:ascii="Calibri" w:eastAsia="Times New Roman" w:hAnsi="Calibri" w:cs="Times New Roman"/>
                <w:color w:val="000000"/>
              </w:rPr>
            </w:pPr>
            <w:r w:rsidRPr="003E466F">
              <w:rPr>
                <w:rFonts w:ascii="Calibri" w:eastAsia="Times New Roman" w:hAnsi="Calibri" w:cs="Times New Roman"/>
                <w:color w:val="000000"/>
              </w:rPr>
              <w:t>0.080</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0B" w:rsidRDefault="006A3D0B" w:rsidP="00635780">
      <w:pPr>
        <w:spacing w:after="0" w:line="240" w:lineRule="auto"/>
      </w:pPr>
      <w:r>
        <w:separator/>
      </w:r>
    </w:p>
  </w:endnote>
  <w:endnote w:type="continuationSeparator" w:id="0">
    <w:p w:rsidR="006A3D0B" w:rsidRDefault="006A3D0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120E5" w:rsidRDefault="007120E5">
        <w:pPr>
          <w:pStyle w:val="Footer"/>
          <w:jc w:val="center"/>
        </w:pPr>
        <w:r>
          <w:fldChar w:fldCharType="begin"/>
        </w:r>
        <w:r>
          <w:instrText xml:space="preserve"> PAGE   \* MERGEFORMAT </w:instrText>
        </w:r>
        <w:r>
          <w:fldChar w:fldCharType="separate"/>
        </w:r>
        <w:r w:rsidR="00460B03">
          <w:rPr>
            <w:noProof/>
          </w:rPr>
          <w:t>2</w:t>
        </w:r>
        <w:r>
          <w:rPr>
            <w:noProof/>
          </w:rPr>
          <w:fldChar w:fldCharType="end"/>
        </w:r>
      </w:p>
    </w:sdtContent>
  </w:sdt>
  <w:p w:rsidR="007120E5" w:rsidRDefault="00712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0B" w:rsidRDefault="006A3D0B" w:rsidP="00635780">
      <w:pPr>
        <w:spacing w:after="0" w:line="240" w:lineRule="auto"/>
      </w:pPr>
      <w:r>
        <w:separator/>
      </w:r>
    </w:p>
  </w:footnote>
  <w:footnote w:type="continuationSeparator" w:id="0">
    <w:p w:rsidR="006A3D0B" w:rsidRDefault="006A3D0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E5" w:rsidRPr="00094819" w:rsidRDefault="007120E5" w:rsidP="00635780">
    <w:pPr>
      <w:pStyle w:val="Header"/>
      <w:jc w:val="center"/>
      <w:rPr>
        <w:rFonts w:ascii="Arial Narrow" w:hAnsi="Arial Narrow" w:cs="Arial"/>
        <w:sz w:val="24"/>
        <w:szCs w:val="24"/>
      </w:rPr>
    </w:pPr>
    <w:r>
      <w:rPr>
        <w:rFonts w:ascii="Arial Narrow" w:hAnsi="Arial Narrow" w:cs="Arial"/>
        <w:sz w:val="24"/>
        <w:szCs w:val="24"/>
      </w:rPr>
      <w:t>MISSISSIPPI</w:t>
    </w:r>
    <w:r w:rsidRPr="00094819">
      <w:rPr>
        <w:rFonts w:ascii="Arial Narrow" w:hAnsi="Arial Narrow" w:cs="Arial"/>
        <w:sz w:val="24"/>
        <w:szCs w:val="24"/>
      </w:rPr>
      <w:t xml:space="preserve"> RIVER </w:t>
    </w:r>
    <w:r>
      <w:rPr>
        <w:rFonts w:ascii="Arial Narrow" w:hAnsi="Arial Narrow" w:cs="Arial"/>
        <w:sz w:val="24"/>
        <w:szCs w:val="24"/>
      </w:rPr>
      <w:t>MAIN STEM</w:t>
    </w:r>
  </w:p>
  <w:p w:rsidR="007120E5" w:rsidRPr="00094819" w:rsidRDefault="007120E5"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74</w:t>
    </w:r>
    <w:r w:rsidRPr="00094819">
      <w:rPr>
        <w:rFonts w:ascii="Arial Narrow" w:hAnsi="Arial Narrow" w:cs="Arial"/>
        <w:b/>
        <w:sz w:val="32"/>
        <w:szCs w:val="32"/>
      </w:rPr>
      <w:t xml:space="preserve">500 </w:t>
    </w:r>
    <w:r>
      <w:rPr>
        <w:rFonts w:ascii="Arial Narrow" w:hAnsi="Arial Narrow" w:cs="Arial"/>
        <w:b/>
        <w:sz w:val="32"/>
        <w:szCs w:val="32"/>
      </w:rPr>
      <w:t>MISSISSIPPI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KEOKUK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17AF1"/>
    <w:rsid w:val="00032D60"/>
    <w:rsid w:val="00042C8E"/>
    <w:rsid w:val="00054AB9"/>
    <w:rsid w:val="00062C6C"/>
    <w:rsid w:val="00084546"/>
    <w:rsid w:val="00094819"/>
    <w:rsid w:val="000A3B05"/>
    <w:rsid w:val="000B2745"/>
    <w:rsid w:val="000B34BB"/>
    <w:rsid w:val="000B4156"/>
    <w:rsid w:val="000B5FD7"/>
    <w:rsid w:val="000C7BF9"/>
    <w:rsid w:val="000D2A3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466F"/>
    <w:rsid w:val="003E7011"/>
    <w:rsid w:val="003F248D"/>
    <w:rsid w:val="004030D0"/>
    <w:rsid w:val="004058FD"/>
    <w:rsid w:val="00424A9A"/>
    <w:rsid w:val="0043630B"/>
    <w:rsid w:val="00460B03"/>
    <w:rsid w:val="00471CA2"/>
    <w:rsid w:val="00483DFA"/>
    <w:rsid w:val="004B2345"/>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3D0B"/>
    <w:rsid w:val="006E252B"/>
    <w:rsid w:val="006F0377"/>
    <w:rsid w:val="007019EC"/>
    <w:rsid w:val="00707440"/>
    <w:rsid w:val="007120E5"/>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74CBE"/>
    <w:rsid w:val="009831BB"/>
    <w:rsid w:val="009A784A"/>
    <w:rsid w:val="009D2E81"/>
    <w:rsid w:val="009F1E3A"/>
    <w:rsid w:val="009F62E0"/>
    <w:rsid w:val="00A10B0C"/>
    <w:rsid w:val="00A334EC"/>
    <w:rsid w:val="00A946FB"/>
    <w:rsid w:val="00AA1A67"/>
    <w:rsid w:val="00AA1C5D"/>
    <w:rsid w:val="00AA4302"/>
    <w:rsid w:val="00AD477B"/>
    <w:rsid w:val="00AF1A2F"/>
    <w:rsid w:val="00AF3F66"/>
    <w:rsid w:val="00AF4A94"/>
    <w:rsid w:val="00B152C1"/>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65DB3"/>
    <w:rsid w:val="00C85F5E"/>
    <w:rsid w:val="00C868B3"/>
    <w:rsid w:val="00CA7330"/>
    <w:rsid w:val="00CB1FF4"/>
    <w:rsid w:val="00CB4102"/>
    <w:rsid w:val="00CB6360"/>
    <w:rsid w:val="00CD6DFF"/>
    <w:rsid w:val="00CF5693"/>
    <w:rsid w:val="00D0469C"/>
    <w:rsid w:val="00D17C5D"/>
    <w:rsid w:val="00D40310"/>
    <w:rsid w:val="00D46275"/>
    <w:rsid w:val="00D47C69"/>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161E0"/>
    <w:rsid w:val="00F4237E"/>
    <w:rsid w:val="00F643B1"/>
    <w:rsid w:val="00F724D9"/>
    <w:rsid w:val="00F77CBF"/>
    <w:rsid w:val="00F93876"/>
    <w:rsid w:val="00FE454F"/>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32464437">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3731753">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7750505">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2312465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29297320">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37176539">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37003497">
      <w:bodyDiv w:val="1"/>
      <w:marLeft w:val="0"/>
      <w:marRight w:val="0"/>
      <w:marTop w:val="0"/>
      <w:marBottom w:val="0"/>
      <w:divBdr>
        <w:top w:val="none" w:sz="0" w:space="0" w:color="auto"/>
        <w:left w:val="none" w:sz="0" w:space="0" w:color="auto"/>
        <w:bottom w:val="none" w:sz="0" w:space="0" w:color="auto"/>
        <w:right w:val="none" w:sz="0" w:space="0" w:color="auto"/>
      </w:divBdr>
    </w:div>
    <w:div w:id="2068841658">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93352843">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4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0299-4193-444F-92EB-6DBA7F48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2015-05-27T17:01:00Z</dcterms:created>
  <dcterms:modified xsi:type="dcterms:W3CDTF">2015-12-15T15:52:00Z</dcterms:modified>
</cp:coreProperties>
</file>