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61971" w:rsidRDefault="00635780" w:rsidP="007A5691">
      <w:pPr>
        <w:rPr>
          <w:rFonts w:ascii="Arial Narrow" w:hAnsi="Arial Narrow"/>
          <w:b/>
          <w:noProof/>
          <w:sz w:val="28"/>
          <w:szCs w:val="28"/>
        </w:rPr>
      </w:pPr>
    </w:p>
    <w:p w:rsidR="00561971" w:rsidRPr="008340CD" w:rsidRDefault="00561971" w:rsidP="00561971">
      <w:pPr>
        <w:pStyle w:val="PlainText"/>
        <w:rPr>
          <w:rFonts w:ascii="Arial Narrow" w:hAnsi="Arial Narrow" w:cs="Courier New"/>
          <w:sz w:val="22"/>
        </w:rPr>
      </w:pPr>
    </w:p>
    <w:p w:rsidR="00561971" w:rsidRPr="008340CD" w:rsidRDefault="00561971" w:rsidP="00561971">
      <w:pPr>
        <w:pStyle w:val="PlainText"/>
        <w:rPr>
          <w:rFonts w:ascii="Arial Narrow" w:hAnsi="Arial Narrow" w:cs="Courier New"/>
          <w:sz w:val="22"/>
        </w:rPr>
      </w:pPr>
      <w:r w:rsidRPr="008340CD">
        <w:rPr>
          <w:rFonts w:ascii="Arial Narrow" w:hAnsi="Arial Narrow" w:cs="Courier New"/>
          <w:sz w:val="22"/>
        </w:rPr>
        <w:t>LOCATION.--Lat 41°29'19", long 93°20'17" referenced to North American Datum of 1927, in SE 1/4 NW 1/4 sec.12, T.77 N., R.22 W., Polk County, IA, Hydrologic Unit 07100008, on downstream handrail at Station 1260 on bridge on State Highway 316, 2.2 mi southeast of Runnells, 0.2 mi downstream from South River, 0.5 mi upstream from Camp Creek, 28.2 mi upstream from Red Rock Dam, and 167.4 mi upstream from mouth.</w:t>
      </w:r>
    </w:p>
    <w:p w:rsidR="00561971" w:rsidRPr="008340CD" w:rsidRDefault="00561971" w:rsidP="00561971">
      <w:pPr>
        <w:pStyle w:val="PlainText"/>
        <w:rPr>
          <w:rFonts w:ascii="Arial Narrow" w:hAnsi="Arial Narrow" w:cs="Courier New"/>
          <w:sz w:val="22"/>
        </w:rPr>
      </w:pPr>
    </w:p>
    <w:p w:rsidR="00561971" w:rsidRPr="008340CD" w:rsidRDefault="00561971" w:rsidP="00561971">
      <w:pPr>
        <w:pStyle w:val="PlainText"/>
        <w:rPr>
          <w:rFonts w:ascii="Arial Narrow" w:hAnsi="Arial Narrow" w:cs="Courier New"/>
          <w:sz w:val="22"/>
        </w:rPr>
      </w:pPr>
      <w:r w:rsidRPr="008340CD">
        <w:rPr>
          <w:rFonts w:ascii="Arial Narrow" w:hAnsi="Arial Narrow" w:cs="Courier New"/>
          <w:sz w:val="22"/>
        </w:rPr>
        <w:t>DRAINAGE AREA.--11,655 mi².</w:t>
      </w:r>
    </w:p>
    <w:p w:rsidR="00561971" w:rsidRPr="008340CD" w:rsidRDefault="00561971" w:rsidP="00561971">
      <w:pPr>
        <w:pStyle w:val="PlainText"/>
        <w:rPr>
          <w:rFonts w:ascii="Arial Narrow" w:hAnsi="Arial Narrow" w:cs="Courier New"/>
          <w:sz w:val="22"/>
        </w:rPr>
      </w:pPr>
    </w:p>
    <w:p w:rsidR="00561971" w:rsidRPr="008340CD" w:rsidRDefault="00561971" w:rsidP="00561971">
      <w:pPr>
        <w:pStyle w:val="PlainText"/>
        <w:rPr>
          <w:rFonts w:ascii="Arial Narrow" w:hAnsi="Arial Narrow" w:cs="Courier New"/>
          <w:sz w:val="22"/>
        </w:rPr>
      </w:pPr>
      <w:r w:rsidRPr="008340CD">
        <w:rPr>
          <w:rFonts w:ascii="Arial Narrow" w:hAnsi="Arial Narrow" w:cs="Courier New"/>
          <w:sz w:val="22"/>
        </w:rPr>
        <w:t>PERIOD OF RECORD.--Discharge records from October 1985 to September 2009.</w:t>
      </w:r>
    </w:p>
    <w:p w:rsidR="00561971" w:rsidRPr="008340CD" w:rsidRDefault="00561971" w:rsidP="00561971">
      <w:pPr>
        <w:pStyle w:val="PlainText"/>
        <w:rPr>
          <w:rFonts w:ascii="Arial Narrow" w:hAnsi="Arial Narrow" w:cs="Courier New"/>
          <w:sz w:val="22"/>
        </w:rPr>
      </w:pPr>
    </w:p>
    <w:p w:rsidR="00561971" w:rsidRPr="008340CD" w:rsidRDefault="00561971" w:rsidP="00561971">
      <w:pPr>
        <w:pStyle w:val="PlainText"/>
        <w:rPr>
          <w:rFonts w:ascii="Arial Narrow" w:hAnsi="Arial Narrow" w:cs="Courier New"/>
          <w:sz w:val="22"/>
        </w:rPr>
      </w:pPr>
      <w:r w:rsidRPr="008340CD">
        <w:rPr>
          <w:rFonts w:ascii="Arial Narrow" w:hAnsi="Arial Narrow" w:cs="Courier New"/>
          <w:sz w:val="22"/>
        </w:rPr>
        <w:t>GAGE.--Water-stage recorder. Datum of gage is 700.00 ft above NGVD of 1929 (U.S. Army Corps of Engineers benchmark).</w:t>
      </w:r>
    </w:p>
    <w:p w:rsidR="00561971" w:rsidRPr="008340CD" w:rsidRDefault="00561971" w:rsidP="00561971">
      <w:pPr>
        <w:pStyle w:val="PlainText"/>
        <w:rPr>
          <w:rFonts w:ascii="Arial Narrow" w:hAnsi="Arial Narrow" w:cs="Courier New"/>
          <w:sz w:val="22"/>
        </w:rPr>
      </w:pPr>
    </w:p>
    <w:p w:rsidR="00561971" w:rsidRPr="008340CD" w:rsidRDefault="00561971" w:rsidP="00561971">
      <w:pPr>
        <w:pStyle w:val="PlainText"/>
        <w:rPr>
          <w:rFonts w:ascii="Arial Narrow" w:hAnsi="Arial Narrow" w:cs="Courier New"/>
          <w:sz w:val="22"/>
        </w:rPr>
      </w:pPr>
      <w:r w:rsidRPr="008340CD">
        <w:rPr>
          <w:rFonts w:ascii="Arial Narrow" w:hAnsi="Arial Narrow" w:cs="Courier New"/>
          <w:sz w:val="22"/>
        </w:rPr>
        <w:t>REMARKS.--Records good except for estimated daily discharges, which are poor. Flow regulated by Saylorville Lake (station 05481630), 34.2 mi upstream. Stage-discharge relation is affected at times by backwater from Lake Red Rock (station 05488100).</w:t>
      </w:r>
    </w:p>
    <w:p w:rsidR="00561971" w:rsidRPr="008340CD" w:rsidRDefault="00561971" w:rsidP="00561971">
      <w:pPr>
        <w:pStyle w:val="PlainText"/>
        <w:rPr>
          <w:rFonts w:ascii="Arial Narrow" w:hAnsi="Arial Narrow" w:cs="Courier New"/>
          <w:sz w:val="22"/>
        </w:rPr>
      </w:pPr>
    </w:p>
    <w:p w:rsidR="004F74DB" w:rsidRDefault="00561971" w:rsidP="00E17B6F">
      <w:pPr>
        <w:pStyle w:val="PlainText"/>
        <w:rPr>
          <w:rFonts w:ascii="Arial Narrow" w:hAnsi="Arial Narrow" w:cs="Courier New"/>
          <w:sz w:val="22"/>
        </w:rPr>
      </w:pPr>
      <w:r w:rsidRPr="008340CD">
        <w:rPr>
          <w:rFonts w:ascii="Arial Narrow" w:hAnsi="Arial Narrow" w:cs="Courier New"/>
          <w:sz w:val="22"/>
        </w:rPr>
        <w:t>EXTREMES OUTSIDE PERIOD OF RECORD.--Floods occurred on May 31, 1903, June 14, 1947, June 26, 1947, and June 24, 1954. No gage height or discharge were determined. Gage height and discharge information is available for these floods at other sites on the Des Moines River.</w:t>
      </w:r>
    </w:p>
    <w:p w:rsidR="00E17B6F" w:rsidRDefault="00E17B6F" w:rsidP="00E17B6F">
      <w:pPr>
        <w:pStyle w:val="PlainText"/>
        <w:rPr>
          <w:rFonts w:ascii="Arial Narrow" w:hAnsi="Arial Narrow" w:cs="Courier New"/>
          <w:sz w:val="22"/>
        </w:rPr>
      </w:pPr>
    </w:p>
    <w:p w:rsidR="00E17B6F" w:rsidRDefault="00E17B6F" w:rsidP="00E17B6F">
      <w:pPr>
        <w:pStyle w:val="PlainText"/>
        <w:rPr>
          <w:rFonts w:ascii="Arial Narrow" w:hAnsi="Arial Narrow" w:cs="Courier New"/>
          <w:sz w:val="22"/>
        </w:rPr>
      </w:pPr>
    </w:p>
    <w:p w:rsidR="00E17B6F" w:rsidRPr="00E17B6F" w:rsidRDefault="00E17B6F" w:rsidP="00E17B6F">
      <w:pPr>
        <w:pStyle w:val="PlainText"/>
        <w:rPr>
          <w:rFonts w:ascii="Arial Narrow" w:hAnsi="Arial Narrow" w:cs="Courier New"/>
          <w:sz w:val="22"/>
        </w:rPr>
      </w:pPr>
    </w:p>
    <w:p w:rsidR="006162FF" w:rsidRPr="008340CD" w:rsidRDefault="00D0469C" w:rsidP="007A5691">
      <w:pPr>
        <w:rPr>
          <w:rFonts w:ascii="Arial Narrow" w:hAnsi="Arial Narrow"/>
        </w:rPr>
      </w:pPr>
      <w:r w:rsidRPr="008340CD">
        <w:rPr>
          <w:rFonts w:ascii="Arial Narrow" w:hAnsi="Arial Narrow"/>
        </w:rPr>
        <w:t>A summary of all available</w:t>
      </w:r>
      <w:r w:rsidR="00654E98" w:rsidRPr="008340CD">
        <w:rPr>
          <w:rFonts w:ascii="Arial Narrow" w:hAnsi="Arial Narrow"/>
        </w:rPr>
        <w:t xml:space="preserve"> </w:t>
      </w:r>
      <w:r w:rsidR="00282A42" w:rsidRPr="008340CD">
        <w:rPr>
          <w:rFonts w:ascii="Arial Narrow" w:hAnsi="Arial Narrow"/>
        </w:rPr>
        <w:t>data</w:t>
      </w:r>
      <w:r w:rsidR="007A5691" w:rsidRPr="008340CD">
        <w:rPr>
          <w:rFonts w:ascii="Arial Narrow" w:hAnsi="Arial Narrow"/>
        </w:rPr>
        <w:t xml:space="preserve"> for this streamgage </w:t>
      </w:r>
      <w:r w:rsidR="007B6CCF" w:rsidRPr="008340CD">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340CD">
        <w:rPr>
          <w:rFonts w:ascii="Arial Narrow" w:hAnsi="Arial Narrow"/>
        </w:rPr>
        <w:t>,</w:t>
      </w:r>
      <w:r w:rsidR="007B6CCF" w:rsidRPr="008340CD">
        <w:rPr>
          <w:rFonts w:ascii="Arial Narrow" w:hAnsi="Arial Narrow"/>
        </w:rPr>
        <w:t xml:space="preserve"> and can be output in various tabular and graphical formats.</w:t>
      </w:r>
    </w:p>
    <w:p w:rsidR="00ED06BE" w:rsidRPr="008340CD" w:rsidRDefault="00C50856" w:rsidP="00ED06BE">
      <w:pPr>
        <w:jc w:val="center"/>
        <w:rPr>
          <w:rStyle w:val="Hyperlink"/>
          <w:rFonts w:ascii="Arial Narrow" w:hAnsi="Arial Narrow"/>
        </w:rPr>
      </w:pPr>
      <w:hyperlink r:id="rId8" w:history="1">
        <w:r w:rsidR="00561971" w:rsidRPr="008340CD">
          <w:rPr>
            <w:rStyle w:val="Hyperlink"/>
            <w:rFonts w:ascii="Arial Narrow" w:hAnsi="Arial Narrow"/>
          </w:rPr>
          <w:t>http://waterdata.usgs.gov/nwis/inventory/?site_no=05487500</w:t>
        </w:r>
      </w:hyperlink>
    </w:p>
    <w:p w:rsidR="00ED06BE" w:rsidRPr="008340CD" w:rsidRDefault="00ED06BE" w:rsidP="00ED06BE">
      <w:pPr>
        <w:jc w:val="center"/>
        <w:rPr>
          <w:rStyle w:val="Hyperlink"/>
          <w:rFonts w:ascii="Arial Narrow" w:hAnsi="Arial Narrow"/>
        </w:rPr>
      </w:pPr>
    </w:p>
    <w:p w:rsidR="00ED06BE" w:rsidRPr="008340CD" w:rsidRDefault="00ED06BE" w:rsidP="00ED06BE">
      <w:pPr>
        <w:rPr>
          <w:rFonts w:ascii="Arial Narrow" w:hAnsi="Arial Narrow"/>
        </w:rPr>
      </w:pPr>
      <w:r w:rsidRPr="008340CD">
        <w:rPr>
          <w:rFonts w:ascii="Arial Narrow" w:hAnsi="Arial Narrow"/>
        </w:rPr>
        <w:t xml:space="preserve">The USGS WaterWatch Toolkit is available at: </w:t>
      </w:r>
    </w:p>
    <w:p w:rsidR="00ED06BE" w:rsidRPr="008340CD" w:rsidRDefault="00C50856" w:rsidP="00ED06BE">
      <w:pPr>
        <w:jc w:val="center"/>
        <w:rPr>
          <w:rFonts w:ascii="Arial Narrow" w:hAnsi="Arial Narrow"/>
        </w:rPr>
      </w:pPr>
      <w:hyperlink r:id="rId9" w:history="1">
        <w:r w:rsidR="00ED06BE" w:rsidRPr="008340CD">
          <w:rPr>
            <w:rStyle w:val="Hyperlink"/>
            <w:rFonts w:ascii="Arial Narrow" w:hAnsi="Arial Narrow"/>
          </w:rPr>
          <w:t>http://waterwatch.usgs.gov/?id=ww_toolkit</w:t>
        </w:r>
      </w:hyperlink>
    </w:p>
    <w:p w:rsidR="00ED06BE" w:rsidRPr="008340CD" w:rsidRDefault="00ED06BE" w:rsidP="00ED06BE">
      <w:pPr>
        <w:rPr>
          <w:rFonts w:ascii="Arial Narrow" w:hAnsi="Arial Narrow"/>
        </w:rPr>
      </w:pPr>
      <w:r w:rsidRPr="008340CD">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8340CD" w:rsidRDefault="00ED06BE" w:rsidP="00ED06BE">
      <w:pPr>
        <w:rPr>
          <w:rFonts w:ascii="Arial Narrow" w:hAnsi="Arial Narrow"/>
          <w:noProof/>
        </w:rPr>
      </w:pPr>
    </w:p>
    <w:p w:rsidR="00ED06BE" w:rsidRDefault="00ED06BE" w:rsidP="00ED06BE">
      <w:pPr>
        <w:rPr>
          <w:rFonts w:ascii="Arial Narrow" w:hAnsi="Arial Narrow"/>
          <w:noProof/>
        </w:rPr>
      </w:pPr>
    </w:p>
    <w:p w:rsidR="00E17B6F" w:rsidRPr="008340CD" w:rsidRDefault="00E17B6F" w:rsidP="00ED06BE">
      <w:pPr>
        <w:rPr>
          <w:rFonts w:ascii="Arial Narrow" w:hAnsi="Arial Narrow"/>
          <w:noProof/>
        </w:rPr>
      </w:pPr>
    </w:p>
    <w:p w:rsidR="00ED06BE" w:rsidRPr="008340CD" w:rsidRDefault="00ED06BE" w:rsidP="00ED06BE">
      <w:pPr>
        <w:rPr>
          <w:rFonts w:ascii="Arial Narrow" w:hAnsi="Arial Narrow"/>
          <w:noProof/>
        </w:rPr>
      </w:pPr>
    </w:p>
    <w:p w:rsidR="00ED06BE" w:rsidRPr="008340CD" w:rsidRDefault="00ED06BE" w:rsidP="00ED06BE">
      <w:pPr>
        <w:rPr>
          <w:rFonts w:ascii="Arial Narrow" w:hAnsi="Arial Narrow"/>
          <w:noProof/>
        </w:rPr>
      </w:pPr>
      <w:r w:rsidRPr="008340CD">
        <w:rPr>
          <w:rFonts w:ascii="Arial Narrow" w:hAnsi="Arial Narrow"/>
          <w:noProof/>
        </w:rPr>
        <w:t>A description of the statistics presented for this streamgage is available in the main body of the report at:</w:t>
      </w:r>
    </w:p>
    <w:p w:rsidR="00ED06BE" w:rsidRDefault="001347F2" w:rsidP="00ED06BE">
      <w:pPr>
        <w:jc w:val="center"/>
        <w:rPr>
          <w:rFonts w:ascii="Arial Narrow" w:hAnsi="Arial Narrow"/>
          <w:noProof/>
        </w:rPr>
      </w:pPr>
      <w:hyperlink r:id="rId10" w:history="1">
        <w:r w:rsidRPr="000A341D">
          <w:rPr>
            <w:rStyle w:val="Hyperlink"/>
            <w:rFonts w:ascii="Arial Narrow" w:hAnsi="Arial Narrow"/>
            <w:noProof/>
          </w:rPr>
          <w:t>http://dx.doi.org/10.3133/ofr20151214</w:t>
        </w:r>
      </w:hyperlink>
      <w:bookmarkStart w:id="0" w:name="_GoBack"/>
      <w:bookmarkEnd w:id="0"/>
    </w:p>
    <w:p w:rsidR="00ED06BE" w:rsidRDefault="00116467" w:rsidP="00ED06BE">
      <w:pPr>
        <w:rPr>
          <w:rFonts w:ascii="Arial Narrow" w:hAnsi="Arial Narrow"/>
          <w:noProof/>
        </w:rPr>
      </w:pPr>
      <w:r>
        <w:rPr>
          <w:rFonts w:ascii="Arial Narrow" w:hAnsi="Arial Narrow"/>
          <w:noProof/>
        </w:rPr>
        <w:t>A link</w:t>
      </w:r>
      <w:r w:rsidR="00ED06BE" w:rsidRPr="008340CD">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9A1A8E" w:rsidRPr="008340CD" w:rsidRDefault="009A1A8E" w:rsidP="00ED06BE">
      <w:pPr>
        <w:rPr>
          <w:rFonts w:ascii="Arial Narrow" w:hAnsi="Arial Narrow"/>
          <w:noProof/>
        </w:rPr>
      </w:pPr>
    </w:p>
    <w:p w:rsidR="00ED06BE" w:rsidRDefault="009A1A8E" w:rsidP="009A1A8E">
      <w:pPr>
        <w:jc w:val="center"/>
        <w:rPr>
          <w:rFonts w:ascii="Arial Narrow" w:hAnsi="Arial Narrow"/>
          <w:b/>
          <w:sz w:val="28"/>
          <w:szCs w:val="28"/>
        </w:rPr>
      </w:pPr>
      <w:r w:rsidRPr="00124F66">
        <w:rPr>
          <w:rFonts w:ascii="Arial Narrow" w:hAnsi="Arial Narrow"/>
          <w:b/>
          <w:sz w:val="28"/>
          <w:szCs w:val="28"/>
        </w:rPr>
        <w:t xml:space="preserve">Statistics Based on </w:t>
      </w:r>
      <w:r>
        <w:rPr>
          <w:rFonts w:ascii="Arial Narrow" w:hAnsi="Arial Narrow"/>
          <w:b/>
          <w:sz w:val="28"/>
          <w:szCs w:val="28"/>
        </w:rPr>
        <w:t xml:space="preserve">the Regulated </w:t>
      </w:r>
      <w:r w:rsidRPr="00124F66">
        <w:rPr>
          <w:rFonts w:ascii="Arial Narrow" w:hAnsi="Arial Narrow"/>
          <w:b/>
          <w:sz w:val="28"/>
          <w:szCs w:val="28"/>
        </w:rPr>
        <w:t>Streamflow Period of Record</w:t>
      </w:r>
    </w:p>
    <w:p w:rsidR="00485319" w:rsidRPr="009A1A8E" w:rsidRDefault="00485319" w:rsidP="009A1A8E">
      <w:pPr>
        <w:jc w:val="center"/>
        <w:rPr>
          <w:rFonts w:ascii="Arial Narrow" w:hAnsi="Arial Narrow"/>
          <w:b/>
          <w:sz w:val="28"/>
          <w:szCs w:val="28"/>
        </w:rPr>
      </w:pPr>
    </w:p>
    <w:p w:rsidR="000B2745" w:rsidRPr="00167A5E" w:rsidRDefault="002850BB" w:rsidP="00677C75">
      <w:pPr>
        <w:jc w:val="center"/>
        <w:rPr>
          <w:b/>
        </w:rPr>
      </w:pPr>
      <w:r>
        <w:rPr>
          <w:b/>
          <w:noProof/>
        </w:rPr>
        <w:drawing>
          <wp:inline distT="0" distB="0" distL="0" distR="0">
            <wp:extent cx="5943600" cy="564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7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7055"/>
                    </a:xfrm>
                    <a:prstGeom prst="rect">
                      <a:avLst/>
                    </a:prstGeom>
                  </pic:spPr>
                </pic:pic>
              </a:graphicData>
            </a:graphic>
          </wp:inline>
        </w:drawing>
      </w:r>
    </w:p>
    <w:p w:rsidR="0062756C" w:rsidRDefault="0062756C" w:rsidP="00303848"/>
    <w:p w:rsidR="00B23356" w:rsidRDefault="00B23356" w:rsidP="00303848"/>
    <w:p w:rsidR="00623B36" w:rsidRDefault="002E73CA"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5616258</wp:posOffset>
                </wp:positionV>
                <wp:extent cx="228600" cy="18097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42.25pt;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" fillcolor="white [3212]" stroked="f" strokeweight="2pt"/>
            </w:pict>
          </mc:Fallback>
        </mc:AlternateContent>
      </w:r>
      <w:r w:rsidR="000F1A05">
        <w:rPr>
          <w:b/>
          <w:noProof/>
        </w:rPr>
        <w:drawing>
          <wp:inline distT="0" distB="0" distL="0" distR="0">
            <wp:extent cx="5943600" cy="5915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7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1502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0F1A05" w:rsidP="00572EF1">
      <w:pPr>
        <w:jc w:val="center"/>
        <w:rPr>
          <w:sz w:val="24"/>
          <w:szCs w:val="24"/>
        </w:rPr>
      </w:pPr>
      <w:r>
        <w:rPr>
          <w:noProof/>
          <w:sz w:val="24"/>
          <w:szCs w:val="24"/>
        </w:rPr>
        <w:drawing>
          <wp:inline distT="0" distB="0" distL="0" distR="0">
            <wp:extent cx="5943600" cy="585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7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508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AC1A3A" w:rsidP="00B92AE3">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sidR="001B5F18">
        <w:rPr>
          <w:rFonts w:ascii="Arial Narrow" w:hAnsi="Arial Narrow"/>
          <w:b/>
          <w:sz w:val="28"/>
          <w:szCs w:val="28"/>
        </w:rPr>
        <w:t xml:space="preserve">the </w:t>
      </w:r>
      <w:r w:rsidR="000F1A05">
        <w:rPr>
          <w:rFonts w:ascii="Arial Narrow" w:hAnsi="Arial Narrow"/>
          <w:b/>
          <w:sz w:val="28"/>
          <w:szCs w:val="28"/>
        </w:rPr>
        <w:t xml:space="preserve">Regulated </w:t>
      </w:r>
      <w:r w:rsidR="00F724D9" w:rsidRPr="00124F66">
        <w:rPr>
          <w:rFonts w:ascii="Arial Narrow" w:hAnsi="Arial Narrow"/>
          <w:b/>
          <w:sz w:val="28"/>
          <w:szCs w:val="28"/>
        </w:rPr>
        <w:t>Streamflow Period</w:t>
      </w:r>
      <w:r w:rsidR="009A1A8E"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595"/>
        <w:gridCol w:w="811"/>
        <w:gridCol w:w="811"/>
        <w:gridCol w:w="811"/>
        <w:gridCol w:w="672"/>
        <w:gridCol w:w="811"/>
        <w:gridCol w:w="811"/>
        <w:gridCol w:w="811"/>
        <w:gridCol w:w="811"/>
        <w:gridCol w:w="811"/>
        <w:gridCol w:w="811"/>
        <w:gridCol w:w="811"/>
        <w:gridCol w:w="811"/>
        <w:gridCol w:w="833"/>
        <w:gridCol w:w="846"/>
        <w:gridCol w:w="820"/>
      </w:tblGrid>
      <w:tr w:rsidR="000F1A05" w:rsidRPr="000F1A05" w:rsidTr="000F1A0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05487500 Monthly and annual flow durations, based on 1986–2009 regulated period of record (24 years)</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sz w:val="20"/>
                <w:szCs w:val="20"/>
              </w:rPr>
            </w:pPr>
          </w:p>
        </w:tc>
      </w:tr>
      <w:tr w:rsidR="000F1A05" w:rsidRPr="000F1A05" w:rsidTr="000F1A05">
        <w:trPr>
          <w:trHeight w:val="600"/>
          <w:jc w:val="center"/>
        </w:trPr>
        <w:tc>
          <w:tcPr>
            <w:tcW w:w="1595" w:type="dxa"/>
            <w:vMerge w:val="restart"/>
            <w:tcBorders>
              <w:top w:val="nil"/>
              <w:left w:val="nil"/>
              <w:bottom w:val="single" w:sz="4" w:space="0" w:color="000000"/>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Percentage of days discharge equaled or exceeded</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 </w:t>
            </w:r>
          </w:p>
        </w:tc>
        <w:tc>
          <w:tcPr>
            <w:tcW w:w="67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 </w:t>
            </w:r>
          </w:p>
        </w:tc>
        <w:tc>
          <w:tcPr>
            <w:tcW w:w="4055" w:type="dxa"/>
            <w:gridSpan w:val="5"/>
            <w:tcBorders>
              <w:top w:val="single" w:sz="4" w:space="0" w:color="auto"/>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Discharge (cubic feet per second)</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Annual flow durations</w:t>
            </w:r>
          </w:p>
        </w:tc>
      </w:tr>
      <w:tr w:rsidR="000F1A05" w:rsidRPr="000F1A05" w:rsidTr="000F1A05">
        <w:trPr>
          <w:trHeight w:val="600"/>
          <w:jc w:val="center"/>
        </w:trPr>
        <w:tc>
          <w:tcPr>
            <w:tcW w:w="1595" w:type="dxa"/>
            <w:vMerge/>
            <w:tcBorders>
              <w:top w:val="nil"/>
              <w:left w:val="nil"/>
              <w:bottom w:val="single" w:sz="4" w:space="0" w:color="000000"/>
              <w:right w:val="nil"/>
            </w:tcBorders>
            <w:vAlign w:val="center"/>
            <w:hideMark/>
          </w:tcPr>
          <w:p w:rsidR="000F1A05" w:rsidRPr="000F1A05" w:rsidRDefault="000F1A05" w:rsidP="000F1A05">
            <w:pPr>
              <w:spacing w:after="0" w:line="240" w:lineRule="auto"/>
              <w:rPr>
                <w:rFonts w:ascii="Calibri" w:eastAsia="Times New Roman" w:hAnsi="Calibri" w:cs="Times New Roman"/>
                <w:color w:val="000000"/>
                <w:sz w:val="20"/>
                <w:szCs w:val="20"/>
              </w:rPr>
            </w:pP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Oct</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Nov</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Dec</w:t>
            </w:r>
          </w:p>
        </w:tc>
        <w:tc>
          <w:tcPr>
            <w:tcW w:w="67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Jan</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Feb</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Mar</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Apr</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May</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June</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July</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Aug</w:t>
            </w:r>
          </w:p>
        </w:tc>
        <w:tc>
          <w:tcPr>
            <w:tcW w:w="811" w:type="dxa"/>
            <w:tcBorders>
              <w:top w:val="nil"/>
              <w:left w:val="nil"/>
              <w:bottom w:val="single" w:sz="4" w:space="0" w:color="auto"/>
              <w:right w:val="nil"/>
            </w:tcBorders>
            <w:shd w:val="clear" w:color="000000" w:fill="FFFFFF"/>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Sept</w:t>
            </w:r>
          </w:p>
        </w:tc>
        <w:tc>
          <w:tcPr>
            <w:tcW w:w="833"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P-value</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99</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456</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380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390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430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540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912</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431</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340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415</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0.004</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1.000</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98</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340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477</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430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452</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699</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495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360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453</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0.960</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509</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460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458</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922</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1,300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2,180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872</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604</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475</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540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0.862</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525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616</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552</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540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1,840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3,200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3,270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901</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560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678</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1.000</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584</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712</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650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558</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2,620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4,850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4,400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2,230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1,280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633</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909</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-0.047</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0.766</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673</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799</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601</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778</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2,410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3,400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6,260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5,550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3,460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1,570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770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1,230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0.843</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771</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999</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1,100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723</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2,970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4,160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7,100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4,790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1,900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942</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1,610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0.843</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932</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1,360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1,490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3,300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5,200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8,130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7,600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5,750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2,120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1,040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2,000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0.941</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1,630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1,710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3,820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6,470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9,370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6,480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2,430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1,130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2,300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0.960</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1,700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1,900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1,900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1,290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8,220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10,900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7,370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2,700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1,310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2,700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0.941</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2,080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2,090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2,100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2,210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5,190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9,580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13,600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11,900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8,390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3,080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1,460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3,180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0.047</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0.766</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2,280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2,330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2,290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1,700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2,480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6,110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14,800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13,400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9,800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1,600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3,780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0.022</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0.901</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2,610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2,580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2,540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1,850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2,650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7,220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12,700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15,000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10,800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1,860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4,540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-0.047</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0.766</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2,920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2,970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2,900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2,840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8,760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14,400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17,500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16,700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4,530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2,160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5,420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0.823</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3,340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3,600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3,210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2,200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3,100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9,950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16,200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19,000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18,000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13,000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5,200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2,400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6,650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0.960</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3,800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4,200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3,500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2,400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3,570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11,600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18,300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21,000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19,500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14,200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5,810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2,890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8,360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0.960</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4,420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4,700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3,940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2,650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4,030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13,100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19,500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22,500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21,000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15,500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3,320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10,300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0.823</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5,200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4,400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3,020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4,700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15,800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21,600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24,300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23,500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17,000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7,860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4,510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13,000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0.785</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6,420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6,460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5,210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3,400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18,100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24,000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26,000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28,300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19,000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9,270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6,180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16,400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0.691</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9,960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9,110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6,850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3,880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7,820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21,500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28,100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28,500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34,000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23,500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10,600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8,260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20,400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0.673</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AC1A3A" w:rsidP="000F1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F1A05" w:rsidRPr="000F1A05">
              <w:rPr>
                <w:rFonts w:ascii="Calibri" w:eastAsia="Times New Roman" w:hAnsi="Calibri" w:cs="Times New Roman"/>
                <w:color w:val="000000"/>
                <w:sz w:val="20"/>
                <w:szCs w:val="20"/>
              </w:rPr>
              <w:t>5</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8,960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5,000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25,800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31,700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32,500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48,000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39,000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24,400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16,000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27,000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0.921</w:t>
            </w:r>
          </w:p>
        </w:tc>
      </w:tr>
      <w:tr w:rsidR="000F1A05" w:rsidRPr="000F1A05" w:rsidTr="000F1A05">
        <w:trPr>
          <w:trHeight w:val="300"/>
          <w:jc w:val="center"/>
        </w:trPr>
        <w:tc>
          <w:tcPr>
            <w:tcW w:w="1595" w:type="dxa"/>
            <w:tcBorders>
              <w:top w:val="nil"/>
              <w:left w:val="nil"/>
              <w:bottom w:val="nil"/>
              <w:right w:val="nil"/>
            </w:tcBorders>
            <w:shd w:val="clear" w:color="auto" w:fill="auto"/>
            <w:noWrap/>
            <w:vAlign w:val="bottom"/>
            <w:hideMark/>
          </w:tcPr>
          <w:p w:rsidR="000F1A05" w:rsidRPr="000F1A05" w:rsidRDefault="00AC1A3A" w:rsidP="000F1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F1A05" w:rsidRPr="000F1A05">
              <w:rPr>
                <w:rFonts w:ascii="Calibri" w:eastAsia="Times New Roman" w:hAnsi="Calibri" w:cs="Times New Roman"/>
                <w:color w:val="000000"/>
                <w:sz w:val="20"/>
                <w:szCs w:val="20"/>
              </w:rPr>
              <w:t>2</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25,000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14,600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11,800</w:t>
            </w:r>
          </w:p>
        </w:tc>
        <w:tc>
          <w:tcPr>
            <w:tcW w:w="67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6,920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14,000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30,900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35,500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39,900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65,100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67,300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31,700</w:t>
            </w:r>
          </w:p>
        </w:tc>
        <w:tc>
          <w:tcPr>
            <w:tcW w:w="811"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23,700</w:t>
            </w:r>
          </w:p>
        </w:tc>
        <w:tc>
          <w:tcPr>
            <w:tcW w:w="83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35,000</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0.691</w:t>
            </w:r>
          </w:p>
        </w:tc>
      </w:tr>
      <w:tr w:rsidR="000F1A05" w:rsidRPr="000F1A05" w:rsidTr="000F1A05">
        <w:trPr>
          <w:trHeight w:val="300"/>
          <w:jc w:val="center"/>
        </w:trPr>
        <w:tc>
          <w:tcPr>
            <w:tcW w:w="1595" w:type="dxa"/>
            <w:tcBorders>
              <w:top w:val="nil"/>
              <w:left w:val="nil"/>
              <w:bottom w:val="single" w:sz="4" w:space="0" w:color="auto"/>
              <w:right w:val="nil"/>
            </w:tcBorders>
            <w:shd w:val="clear" w:color="auto" w:fill="auto"/>
            <w:noWrap/>
            <w:vAlign w:val="bottom"/>
            <w:hideMark/>
          </w:tcPr>
          <w:p w:rsidR="000F1A05" w:rsidRPr="000F1A05" w:rsidRDefault="00AC1A3A" w:rsidP="000F1A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F1A05" w:rsidRPr="000F1A05">
              <w:rPr>
                <w:rFonts w:ascii="Calibri" w:eastAsia="Times New Roman" w:hAnsi="Calibri" w:cs="Times New Roman"/>
                <w:color w:val="000000"/>
                <w:sz w:val="20"/>
                <w:szCs w:val="20"/>
              </w:rPr>
              <w:t>1</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28,000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16,000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16,600</w:t>
            </w:r>
          </w:p>
        </w:tc>
        <w:tc>
          <w:tcPr>
            <w:tcW w:w="67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7,670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15,300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32,600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39,300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45,000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73,800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79,700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39,300</w:t>
            </w:r>
          </w:p>
        </w:tc>
        <w:tc>
          <w:tcPr>
            <w:tcW w:w="811"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30,300</w:t>
            </w:r>
          </w:p>
        </w:tc>
        <w:tc>
          <w:tcPr>
            <w:tcW w:w="833"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45,400</w:t>
            </w:r>
          </w:p>
        </w:tc>
        <w:tc>
          <w:tcPr>
            <w:tcW w:w="82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0.080</w:t>
            </w:r>
          </w:p>
        </w:tc>
        <w:tc>
          <w:tcPr>
            <w:tcW w:w="82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sz w:val="20"/>
                <w:szCs w:val="20"/>
              </w:rPr>
            </w:pPr>
            <w:r w:rsidRPr="000F1A05">
              <w:rPr>
                <w:rFonts w:ascii="Calibri" w:eastAsia="Times New Roman" w:hAnsi="Calibri" w:cs="Times New Roman"/>
                <w:color w:val="000000"/>
                <w:sz w:val="20"/>
                <w:szCs w:val="20"/>
              </w:rPr>
              <w:t>0.602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0F1A05" w:rsidRPr="000F1A05" w:rsidTr="000F1A05">
        <w:trPr>
          <w:trHeight w:val="600"/>
          <w:jc w:val="center"/>
        </w:trPr>
        <w:tc>
          <w:tcPr>
            <w:tcW w:w="5500" w:type="dxa"/>
            <w:gridSpan w:val="5"/>
            <w:tcBorders>
              <w:top w:val="nil"/>
              <w:left w:val="nil"/>
              <w:bottom w:val="nil"/>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05487500 Annual exceedance probability of instantaneous peak discharges</w:t>
            </w:r>
            <w:r w:rsidRPr="000F1A05">
              <w:rPr>
                <w:rFonts w:ascii="Calibri" w:eastAsia="Times New Roman" w:hAnsi="Calibri" w:cs="Times New Roman"/>
                <w:color w:val="000000"/>
                <w:vertAlign w:val="superscript"/>
              </w:rPr>
              <w:t>a</w:t>
            </w:r>
            <w:r w:rsidRPr="000F1A05">
              <w:rPr>
                <w:rFonts w:ascii="Calibri" w:eastAsia="Times New Roman" w:hAnsi="Calibri" w:cs="Times New Roman"/>
                <w:color w:val="000000"/>
              </w:rPr>
              <w:t xml:space="preserve">, in cubic feet per </w:t>
            </w:r>
            <w:r w:rsidR="00DD6197">
              <w:rPr>
                <w:rFonts w:ascii="Calibri" w:eastAsia="Times New Roman" w:hAnsi="Calibri" w:cs="Times New Roman"/>
                <w:color w:val="000000"/>
              </w:rPr>
              <w:t>second (ft</w:t>
            </w:r>
            <w:r w:rsidR="00DD6197">
              <w:rPr>
                <w:rFonts w:ascii="Calibri" w:eastAsia="Times New Roman" w:hAnsi="Calibri" w:cs="Times New Roman"/>
                <w:color w:val="000000"/>
                <w:vertAlign w:val="superscript"/>
              </w:rPr>
              <w:t>3</w:t>
            </w:r>
            <w:r w:rsidR="00DD6197">
              <w:rPr>
                <w:rFonts w:ascii="Calibri" w:eastAsia="Times New Roman" w:hAnsi="Calibri" w:cs="Times New Roman"/>
                <w:color w:val="000000"/>
              </w:rPr>
              <w:t>/s</w:t>
            </w:r>
            <w:r w:rsidRPr="000F1A05">
              <w:rPr>
                <w:rFonts w:ascii="Calibri" w:eastAsia="Times New Roman" w:hAnsi="Calibri" w:cs="Times New Roman"/>
                <w:color w:val="000000"/>
              </w:rPr>
              <w:t>)</w:t>
            </w:r>
          </w:p>
        </w:tc>
      </w:tr>
      <w:tr w:rsidR="000F1A05" w:rsidRPr="000F1A05" w:rsidTr="000F1A05">
        <w:trPr>
          <w:trHeight w:val="300"/>
          <w:jc w:val="center"/>
        </w:trPr>
        <w:tc>
          <w:tcPr>
            <w:tcW w:w="5500" w:type="dxa"/>
            <w:gridSpan w:val="5"/>
            <w:tcBorders>
              <w:top w:val="nil"/>
              <w:left w:val="nil"/>
              <w:bottom w:val="single" w:sz="4" w:space="0" w:color="auto"/>
              <w:right w:val="nil"/>
            </w:tcBorders>
            <w:shd w:val="clear" w:color="auto" w:fill="auto"/>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[ND, not determined]</w:t>
            </w:r>
          </w:p>
        </w:tc>
      </w:tr>
      <w:tr w:rsidR="000F1A05" w:rsidRPr="000F1A05" w:rsidTr="000F1A05">
        <w:trPr>
          <w:trHeight w:val="2100"/>
          <w:jc w:val="center"/>
        </w:trPr>
        <w:tc>
          <w:tcPr>
            <w:tcW w:w="1160" w:type="dxa"/>
            <w:tcBorders>
              <w:top w:val="nil"/>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0F1A05" w:rsidRPr="000F1A05" w:rsidRDefault="00DD6197" w:rsidP="000F1A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0F1A05" w:rsidRPr="000F1A0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95-percent</w:t>
            </w:r>
            <w:r w:rsidR="00DD6197">
              <w:rPr>
                <w:rFonts w:ascii="Calibri" w:eastAsia="Times New Roman" w:hAnsi="Calibri" w:cs="Times New Roman"/>
                <w:color w:val="000000"/>
              </w:rPr>
              <w:t xml:space="preserve"> lower confi-dence interval (ft</w:t>
            </w:r>
            <w:r w:rsidR="00DD6197">
              <w:rPr>
                <w:rFonts w:ascii="Calibri" w:eastAsia="Times New Roman" w:hAnsi="Calibri" w:cs="Times New Roman"/>
                <w:color w:val="000000"/>
                <w:vertAlign w:val="superscript"/>
              </w:rPr>
              <w:t>3</w:t>
            </w:r>
            <w:r w:rsidR="00DD6197">
              <w:rPr>
                <w:rFonts w:ascii="Calibri" w:eastAsia="Times New Roman" w:hAnsi="Calibri" w:cs="Times New Roman"/>
                <w:color w:val="000000"/>
              </w:rPr>
              <w:t>/s</w:t>
            </w:r>
            <w:r w:rsidRPr="000F1A0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95-percent</w:t>
            </w:r>
            <w:r w:rsidR="00DD6197">
              <w:rPr>
                <w:rFonts w:ascii="Calibri" w:eastAsia="Times New Roman" w:hAnsi="Calibri" w:cs="Times New Roman"/>
                <w:color w:val="000000"/>
              </w:rPr>
              <w:t xml:space="preserve"> upper confi-dence interval (ft</w:t>
            </w:r>
            <w:r w:rsidR="00DD6197">
              <w:rPr>
                <w:rFonts w:ascii="Calibri" w:eastAsia="Times New Roman" w:hAnsi="Calibri" w:cs="Times New Roman"/>
                <w:color w:val="000000"/>
                <w:vertAlign w:val="superscript"/>
              </w:rPr>
              <w:t>3</w:t>
            </w:r>
            <w:r w:rsidR="00DD6197">
              <w:rPr>
                <w:rFonts w:ascii="Calibri" w:eastAsia="Times New Roman" w:hAnsi="Calibri" w:cs="Times New Roman"/>
                <w:color w:val="000000"/>
              </w:rPr>
              <w:t>/s</w:t>
            </w:r>
            <w:r w:rsidRPr="000F1A05">
              <w:rPr>
                <w:rFonts w:ascii="Calibri" w:eastAsia="Times New Roman" w:hAnsi="Calibri" w:cs="Times New Roman"/>
                <w:color w:val="000000"/>
              </w:rPr>
              <w:t>)</w:t>
            </w:r>
          </w:p>
        </w:tc>
      </w:tr>
      <w:tr w:rsidR="000F1A05" w:rsidRPr="000F1A05" w:rsidTr="000F1A05">
        <w:trPr>
          <w:trHeight w:val="345"/>
          <w:jc w:val="center"/>
        </w:trPr>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0F1A05">
        <w:trPr>
          <w:trHeight w:val="300"/>
          <w:jc w:val="center"/>
        </w:trPr>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0F1A05">
        <w:trPr>
          <w:trHeight w:val="300"/>
          <w:jc w:val="center"/>
        </w:trPr>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0F1A05">
        <w:trPr>
          <w:trHeight w:val="300"/>
          <w:jc w:val="center"/>
        </w:trPr>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0F1A05">
        <w:trPr>
          <w:trHeight w:val="300"/>
          <w:jc w:val="center"/>
        </w:trPr>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0F1A05">
        <w:trPr>
          <w:trHeight w:val="300"/>
          <w:jc w:val="center"/>
        </w:trPr>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0F1A05">
        <w:trPr>
          <w:trHeight w:val="300"/>
          <w:jc w:val="center"/>
        </w:trPr>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0F1A05">
        <w:trPr>
          <w:trHeight w:val="300"/>
          <w:jc w:val="center"/>
        </w:trPr>
        <w:tc>
          <w:tcPr>
            <w:tcW w:w="116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106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0F1A05">
        <w:trPr>
          <w:trHeight w:val="300"/>
          <w:jc w:val="center"/>
        </w:trPr>
        <w:tc>
          <w:tcPr>
            <w:tcW w:w="2320" w:type="dxa"/>
            <w:gridSpan w:val="2"/>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0.101</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p>
        </w:tc>
      </w:tr>
      <w:tr w:rsidR="000F1A05" w:rsidRPr="000F1A05" w:rsidTr="000F1A05">
        <w:trPr>
          <w:trHeight w:val="300"/>
          <w:jc w:val="center"/>
        </w:trPr>
        <w:tc>
          <w:tcPr>
            <w:tcW w:w="2320" w:type="dxa"/>
            <w:gridSpan w:val="2"/>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0.503</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p>
        </w:tc>
      </w:tr>
      <w:tr w:rsidR="000F1A05" w:rsidRPr="000F1A05" w:rsidTr="000F1A05">
        <w:trPr>
          <w:trHeight w:val="300"/>
          <w:jc w:val="center"/>
        </w:trPr>
        <w:tc>
          <w:tcPr>
            <w:tcW w:w="2320" w:type="dxa"/>
            <w:gridSpan w:val="2"/>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1986</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p>
        </w:tc>
      </w:tr>
      <w:tr w:rsidR="000F1A05" w:rsidRPr="000F1A05" w:rsidTr="000F1A05">
        <w:trPr>
          <w:trHeight w:val="300"/>
          <w:jc w:val="center"/>
        </w:trPr>
        <w:tc>
          <w:tcPr>
            <w:tcW w:w="2320" w:type="dxa"/>
            <w:gridSpan w:val="2"/>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2009</w:t>
            </w: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p>
        </w:tc>
      </w:tr>
      <w:tr w:rsidR="000F1A05" w:rsidRPr="000F1A05" w:rsidTr="000F1A0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24</w:t>
            </w:r>
          </w:p>
        </w:tc>
        <w:tc>
          <w:tcPr>
            <w:tcW w:w="106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 </w:t>
            </w:r>
          </w:p>
        </w:tc>
      </w:tr>
      <w:tr w:rsidR="000F1A05" w:rsidRPr="000F1A05" w:rsidTr="000F1A05">
        <w:trPr>
          <w:trHeight w:val="570"/>
          <w:jc w:val="center"/>
        </w:trPr>
        <w:tc>
          <w:tcPr>
            <w:tcW w:w="5500" w:type="dxa"/>
            <w:gridSpan w:val="5"/>
            <w:tcBorders>
              <w:top w:val="single" w:sz="4" w:space="0" w:color="auto"/>
              <w:left w:val="nil"/>
              <w:bottom w:val="nil"/>
              <w:right w:val="nil"/>
            </w:tcBorders>
            <w:shd w:val="clear" w:color="auto" w:fill="auto"/>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vertAlign w:val="superscript"/>
              </w:rPr>
              <w:t>a</w:t>
            </w:r>
            <w:r w:rsidRPr="000F1A05">
              <w:rPr>
                <w:rFonts w:ascii="Calibri" w:eastAsia="Times New Roman" w:hAnsi="Calibri" w:cs="Times New Roman"/>
                <w:color w:val="000000"/>
              </w:rPr>
              <w:t>Not determined because of backwater effects caused by Lake Red Rock.</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p w:rsidR="00290E10" w:rsidRDefault="00290E10" w:rsidP="00567261">
      <w:pPr>
        <w:jc w:val="center"/>
        <w:rPr>
          <w:sz w:val="24"/>
          <w:szCs w:val="24"/>
        </w:rPr>
      </w:pPr>
    </w:p>
    <w:p w:rsidR="000F1A05" w:rsidRDefault="000F1A05" w:rsidP="00567261">
      <w:pPr>
        <w:jc w:val="center"/>
        <w:rPr>
          <w:sz w:val="24"/>
          <w:szCs w:val="24"/>
        </w:rPr>
      </w:pPr>
    </w:p>
    <w:p w:rsidR="000F1A05" w:rsidRDefault="000F1A05" w:rsidP="00567261">
      <w:pPr>
        <w:jc w:val="center"/>
        <w:rPr>
          <w:sz w:val="24"/>
          <w:szCs w:val="24"/>
        </w:rPr>
      </w:pPr>
    </w:p>
    <w:p w:rsidR="000F1A05" w:rsidRDefault="000F1A05" w:rsidP="00567261">
      <w:pPr>
        <w:jc w:val="center"/>
        <w:rPr>
          <w:sz w:val="24"/>
          <w:szCs w:val="24"/>
        </w:rPr>
      </w:pPr>
    </w:p>
    <w:p w:rsidR="000F1A05" w:rsidRPr="00471562" w:rsidRDefault="000F1A05" w:rsidP="00567261">
      <w:pPr>
        <w:jc w:val="center"/>
        <w:rPr>
          <w:sz w:val="12"/>
          <w:szCs w:val="12"/>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0F1A05" w:rsidRPr="000F1A05" w:rsidTr="00471562">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05487500 Annual exceedance probability of high discharges, based on 1986–2009 regulated period of record</w:t>
            </w:r>
            <w:r w:rsidRPr="000F1A05">
              <w:rPr>
                <w:rFonts w:ascii="Calibri" w:eastAsia="Times New Roman" w:hAnsi="Calibri" w:cs="Times New Roman"/>
                <w:color w:val="000000"/>
                <w:vertAlign w:val="superscript"/>
              </w:rPr>
              <w:t>a</w:t>
            </w:r>
            <w:r w:rsidRPr="000F1A05">
              <w:rPr>
                <w:rFonts w:ascii="Calibri" w:eastAsia="Times New Roman" w:hAnsi="Calibri" w:cs="Times New Roman"/>
                <w:color w:val="000000"/>
              </w:rPr>
              <w:t xml:space="preserve"> (24 years)</w:t>
            </w:r>
          </w:p>
        </w:tc>
      </w:tr>
      <w:tr w:rsidR="000F1A05" w:rsidRPr="000F1A05" w:rsidTr="00471562">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0F1A05">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Maximum average discharge (cubic feet per second) for indicated number of consecutive days</w:t>
            </w:r>
          </w:p>
        </w:tc>
      </w:tr>
      <w:tr w:rsidR="000F1A05" w:rsidRPr="000F1A05" w:rsidTr="00471562">
        <w:trPr>
          <w:trHeight w:val="495"/>
          <w:jc w:val="center"/>
        </w:trPr>
        <w:tc>
          <w:tcPr>
            <w:tcW w:w="1403" w:type="dxa"/>
            <w:vMerge/>
            <w:tcBorders>
              <w:top w:val="nil"/>
              <w:left w:val="nil"/>
              <w:bottom w:val="single" w:sz="4" w:space="0" w:color="000000"/>
              <w:right w:val="nil"/>
            </w:tcBorders>
            <w:vAlign w:val="center"/>
            <w:hideMark/>
          </w:tcPr>
          <w:p w:rsidR="000F1A05" w:rsidRPr="000F1A05" w:rsidRDefault="000F1A05" w:rsidP="000F1A05">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0F1A05" w:rsidRPr="000F1A05" w:rsidRDefault="000F1A05" w:rsidP="000F1A05">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30</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0F1A05" w:rsidRPr="000F1A05" w:rsidRDefault="000F1A05" w:rsidP="00AC1A3A">
            <w:pPr>
              <w:spacing w:after="0" w:line="240" w:lineRule="auto"/>
              <w:ind w:firstLineChars="200" w:firstLine="440"/>
              <w:rPr>
                <w:rFonts w:ascii="Calibri" w:eastAsia="Times New Roman" w:hAnsi="Calibri" w:cs="Times New Roman"/>
                <w:color w:val="000000"/>
              </w:rPr>
            </w:pPr>
            <w:r w:rsidRPr="000F1A05">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0F1A05" w:rsidRPr="000F1A05" w:rsidRDefault="000F1A05" w:rsidP="00AC1A3A">
            <w:pPr>
              <w:spacing w:after="0" w:line="240" w:lineRule="auto"/>
              <w:ind w:firstLineChars="200" w:firstLine="440"/>
              <w:rPr>
                <w:rFonts w:ascii="Calibri" w:eastAsia="Times New Roman" w:hAnsi="Calibri" w:cs="Times New Roman"/>
                <w:color w:val="000000"/>
              </w:rPr>
            </w:pPr>
            <w:r w:rsidRPr="000F1A05">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0F1A05" w:rsidRPr="000F1A05" w:rsidRDefault="00AC1A3A" w:rsidP="00AC1A3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F1A05" w:rsidRPr="000F1A05">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0F1A05" w:rsidRPr="000F1A05" w:rsidRDefault="000F1A05" w:rsidP="00AC1A3A">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0F1A05" w:rsidRPr="000F1A05" w:rsidRDefault="000F1A05" w:rsidP="00AC1A3A">
            <w:pPr>
              <w:spacing w:after="0" w:line="240" w:lineRule="auto"/>
              <w:jc w:val="center"/>
              <w:rPr>
                <w:rFonts w:ascii="Calibri" w:eastAsia="Times New Roman" w:hAnsi="Calibri" w:cs="Times New Roman"/>
                <w:color w:val="000000"/>
              </w:rPr>
            </w:pPr>
            <w:r w:rsidRPr="000F1A05">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0F1A05" w:rsidRPr="000F1A05" w:rsidRDefault="00AC1A3A" w:rsidP="00AC1A3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F1A05" w:rsidRPr="000F1A05">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0F1A05" w:rsidRPr="000F1A05" w:rsidRDefault="00AC1A3A" w:rsidP="00AC1A3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F1A05" w:rsidRPr="000F1A05">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1403"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0F1A05" w:rsidRPr="000F1A05" w:rsidRDefault="00AC1A3A" w:rsidP="00AC1A3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F1A05" w:rsidRPr="000F1A05">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c>
          <w:tcPr>
            <w:tcW w:w="71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ND</w:t>
            </w:r>
          </w:p>
        </w:tc>
      </w:tr>
      <w:tr w:rsidR="000F1A05" w:rsidRPr="000F1A05" w:rsidTr="00471562">
        <w:trPr>
          <w:trHeight w:val="300"/>
          <w:jc w:val="center"/>
        </w:trPr>
        <w:tc>
          <w:tcPr>
            <w:tcW w:w="2455" w:type="dxa"/>
            <w:gridSpan w:val="2"/>
            <w:tcBorders>
              <w:top w:val="nil"/>
              <w:left w:val="nil"/>
              <w:bottom w:val="nil"/>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Kentau statistic</w:t>
            </w:r>
          </w:p>
        </w:tc>
        <w:tc>
          <w:tcPr>
            <w:tcW w:w="1392"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0.080</w:t>
            </w:r>
          </w:p>
        </w:tc>
        <w:tc>
          <w:tcPr>
            <w:tcW w:w="82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0.072</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0.138</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0.080</w:t>
            </w:r>
          </w:p>
        </w:tc>
        <w:tc>
          <w:tcPr>
            <w:tcW w:w="718" w:type="dxa"/>
            <w:tcBorders>
              <w:top w:val="nil"/>
              <w:left w:val="nil"/>
              <w:bottom w:val="nil"/>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0.072</w:t>
            </w:r>
          </w:p>
        </w:tc>
      </w:tr>
      <w:tr w:rsidR="000F1A05" w:rsidRPr="000F1A05" w:rsidTr="00471562">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rPr>
              <w:t>P-value</w:t>
            </w:r>
          </w:p>
        </w:tc>
        <w:tc>
          <w:tcPr>
            <w:tcW w:w="1392"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0.602</w:t>
            </w:r>
          </w:p>
        </w:tc>
        <w:tc>
          <w:tcPr>
            <w:tcW w:w="82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0.637</w:t>
            </w:r>
          </w:p>
        </w:tc>
        <w:tc>
          <w:tcPr>
            <w:tcW w:w="71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0.359</w:t>
            </w:r>
          </w:p>
        </w:tc>
        <w:tc>
          <w:tcPr>
            <w:tcW w:w="71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0.602</w:t>
            </w:r>
          </w:p>
        </w:tc>
        <w:tc>
          <w:tcPr>
            <w:tcW w:w="718" w:type="dxa"/>
            <w:tcBorders>
              <w:top w:val="nil"/>
              <w:left w:val="nil"/>
              <w:bottom w:val="single" w:sz="4" w:space="0" w:color="auto"/>
              <w:right w:val="nil"/>
            </w:tcBorders>
            <w:shd w:val="clear" w:color="auto" w:fill="auto"/>
            <w:noWrap/>
            <w:vAlign w:val="bottom"/>
            <w:hideMark/>
          </w:tcPr>
          <w:p w:rsidR="000F1A05" w:rsidRPr="000F1A05" w:rsidRDefault="000F1A05" w:rsidP="000F1A05">
            <w:pPr>
              <w:spacing w:after="0" w:line="240" w:lineRule="auto"/>
              <w:jc w:val="right"/>
              <w:rPr>
                <w:rFonts w:ascii="Calibri" w:eastAsia="Times New Roman" w:hAnsi="Calibri" w:cs="Times New Roman"/>
                <w:color w:val="000000"/>
              </w:rPr>
            </w:pPr>
            <w:r w:rsidRPr="000F1A05">
              <w:rPr>
                <w:rFonts w:ascii="Calibri" w:eastAsia="Times New Roman" w:hAnsi="Calibri" w:cs="Times New Roman"/>
                <w:color w:val="000000"/>
              </w:rPr>
              <w:t>0.637</w:t>
            </w:r>
          </w:p>
        </w:tc>
      </w:tr>
      <w:tr w:rsidR="000F1A05" w:rsidRPr="000F1A05" w:rsidTr="00471562">
        <w:trPr>
          <w:trHeight w:val="300"/>
          <w:jc w:val="center"/>
        </w:trPr>
        <w:tc>
          <w:tcPr>
            <w:tcW w:w="6829" w:type="dxa"/>
            <w:gridSpan w:val="7"/>
            <w:tcBorders>
              <w:top w:val="single" w:sz="4" w:space="0" w:color="auto"/>
              <w:left w:val="nil"/>
              <w:bottom w:val="nil"/>
              <w:right w:val="nil"/>
            </w:tcBorders>
            <w:shd w:val="clear" w:color="auto" w:fill="auto"/>
            <w:vAlign w:val="bottom"/>
            <w:hideMark/>
          </w:tcPr>
          <w:p w:rsidR="000F1A05" w:rsidRPr="000F1A05" w:rsidRDefault="000F1A05" w:rsidP="000F1A05">
            <w:pPr>
              <w:spacing w:after="0" w:line="240" w:lineRule="auto"/>
              <w:rPr>
                <w:rFonts w:ascii="Calibri" w:eastAsia="Times New Roman" w:hAnsi="Calibri" w:cs="Times New Roman"/>
                <w:color w:val="000000"/>
              </w:rPr>
            </w:pPr>
            <w:r w:rsidRPr="000F1A05">
              <w:rPr>
                <w:rFonts w:ascii="Calibri" w:eastAsia="Times New Roman" w:hAnsi="Calibri" w:cs="Times New Roman"/>
                <w:color w:val="000000"/>
                <w:vertAlign w:val="superscript"/>
              </w:rPr>
              <w:t>a</w:t>
            </w:r>
            <w:r w:rsidRPr="000F1A05">
              <w:rPr>
                <w:rFonts w:ascii="Calibri" w:eastAsia="Times New Roman" w:hAnsi="Calibri" w:cs="Times New Roman"/>
                <w:color w:val="000000"/>
              </w:rPr>
              <w:t>Not determined because of backwater effects caused by Lake Red Rock.</w:t>
            </w:r>
          </w:p>
        </w:tc>
      </w:tr>
    </w:tbl>
    <w:p w:rsidR="000F1A05" w:rsidRPr="00471562" w:rsidRDefault="000F1A05" w:rsidP="00567261">
      <w:pPr>
        <w:jc w:val="center"/>
        <w:rPr>
          <w:sz w:val="12"/>
          <w:szCs w:val="12"/>
        </w:rPr>
      </w:pPr>
    </w:p>
    <w:tbl>
      <w:tblPr>
        <w:tblW w:w="10104" w:type="dxa"/>
        <w:jc w:val="center"/>
        <w:tblInd w:w="93" w:type="dxa"/>
        <w:tblLook w:val="04A0" w:firstRow="1" w:lastRow="0" w:firstColumn="1" w:lastColumn="0" w:noHBand="0" w:noVBand="1"/>
      </w:tblPr>
      <w:tblGrid>
        <w:gridCol w:w="1263"/>
        <w:gridCol w:w="1164"/>
        <w:gridCol w:w="1381"/>
        <w:gridCol w:w="895"/>
        <w:gridCol w:w="804"/>
        <w:gridCol w:w="804"/>
        <w:gridCol w:w="718"/>
        <w:gridCol w:w="804"/>
        <w:gridCol w:w="718"/>
        <w:gridCol w:w="718"/>
        <w:gridCol w:w="835"/>
      </w:tblGrid>
      <w:tr w:rsidR="00471562" w:rsidRPr="00471562" w:rsidTr="00471562">
        <w:trPr>
          <w:trHeight w:val="600"/>
          <w:jc w:val="center"/>
        </w:trPr>
        <w:tc>
          <w:tcPr>
            <w:tcW w:w="1263" w:type="dxa"/>
            <w:tcBorders>
              <w:top w:val="nil"/>
              <w:left w:val="nil"/>
              <w:bottom w:val="single" w:sz="4" w:space="0" w:color="auto"/>
              <w:right w:val="nil"/>
            </w:tcBorders>
            <w:shd w:val="clear" w:color="auto" w:fill="auto"/>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 </w:t>
            </w:r>
          </w:p>
        </w:tc>
        <w:tc>
          <w:tcPr>
            <w:tcW w:w="8006" w:type="dxa"/>
            <w:gridSpan w:val="9"/>
            <w:tcBorders>
              <w:top w:val="nil"/>
              <w:left w:val="nil"/>
              <w:bottom w:val="single" w:sz="4" w:space="0" w:color="auto"/>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05487500 Annual nonexceedance probability of low discharges, based on April 1986 to March 2009 regulated period of record (23 years)</w:t>
            </w:r>
          </w:p>
        </w:tc>
        <w:tc>
          <w:tcPr>
            <w:tcW w:w="835" w:type="dxa"/>
            <w:tcBorders>
              <w:top w:val="nil"/>
              <w:left w:val="nil"/>
              <w:bottom w:val="single" w:sz="4" w:space="0" w:color="auto"/>
              <w:right w:val="nil"/>
            </w:tcBorders>
            <w:shd w:val="clear" w:color="auto" w:fill="auto"/>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 </w:t>
            </w:r>
          </w:p>
        </w:tc>
      </w:tr>
      <w:tr w:rsidR="00471562" w:rsidRPr="00471562" w:rsidTr="0047156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Annual nonexceed-ance probability</w:t>
            </w:r>
          </w:p>
        </w:tc>
        <w:tc>
          <w:tcPr>
            <w:tcW w:w="1164" w:type="dxa"/>
            <w:vMerge w:val="restart"/>
            <w:tcBorders>
              <w:top w:val="nil"/>
              <w:left w:val="nil"/>
              <w:bottom w:val="single" w:sz="4" w:space="0" w:color="000000"/>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Recur-rence interval (years)</w:t>
            </w:r>
          </w:p>
        </w:tc>
        <w:tc>
          <w:tcPr>
            <w:tcW w:w="7677" w:type="dxa"/>
            <w:gridSpan w:val="9"/>
            <w:tcBorders>
              <w:top w:val="single" w:sz="4" w:space="0" w:color="auto"/>
              <w:left w:val="nil"/>
              <w:bottom w:val="single" w:sz="4" w:space="0" w:color="auto"/>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Minimum average discharge (cubic feet per second)                                                                                    for indicated number of consecutive days</w:t>
            </w:r>
          </w:p>
        </w:tc>
      </w:tr>
      <w:tr w:rsidR="00471562" w:rsidRPr="00471562" w:rsidTr="00471562">
        <w:trPr>
          <w:trHeight w:val="495"/>
          <w:jc w:val="center"/>
        </w:trPr>
        <w:tc>
          <w:tcPr>
            <w:tcW w:w="1263" w:type="dxa"/>
            <w:vMerge/>
            <w:tcBorders>
              <w:top w:val="nil"/>
              <w:left w:val="nil"/>
              <w:bottom w:val="single" w:sz="4" w:space="0" w:color="000000"/>
              <w:right w:val="nil"/>
            </w:tcBorders>
            <w:vAlign w:val="center"/>
            <w:hideMark/>
          </w:tcPr>
          <w:p w:rsidR="00471562" w:rsidRPr="00471562" w:rsidRDefault="00471562" w:rsidP="00471562">
            <w:pPr>
              <w:spacing w:after="0" w:line="240" w:lineRule="auto"/>
              <w:rPr>
                <w:rFonts w:ascii="Calibri" w:eastAsia="Times New Roman" w:hAnsi="Calibri" w:cs="Times New Roman"/>
                <w:color w:val="000000"/>
              </w:rPr>
            </w:pPr>
          </w:p>
        </w:tc>
        <w:tc>
          <w:tcPr>
            <w:tcW w:w="1164" w:type="dxa"/>
            <w:vMerge/>
            <w:tcBorders>
              <w:top w:val="nil"/>
              <w:left w:val="nil"/>
              <w:bottom w:val="single" w:sz="4" w:space="0" w:color="000000"/>
              <w:right w:val="nil"/>
            </w:tcBorders>
            <w:vAlign w:val="center"/>
            <w:hideMark/>
          </w:tcPr>
          <w:p w:rsidR="00471562" w:rsidRPr="00471562" w:rsidRDefault="00471562" w:rsidP="00471562">
            <w:pPr>
              <w:spacing w:after="0" w:line="240" w:lineRule="auto"/>
              <w:rPr>
                <w:rFonts w:ascii="Calibri" w:eastAsia="Times New Roman" w:hAnsi="Calibri" w:cs="Times New Roman"/>
                <w:color w:val="000000"/>
              </w:rPr>
            </w:pPr>
          </w:p>
        </w:tc>
        <w:tc>
          <w:tcPr>
            <w:tcW w:w="1381" w:type="dxa"/>
            <w:tcBorders>
              <w:top w:val="nil"/>
              <w:left w:val="nil"/>
              <w:bottom w:val="single" w:sz="4" w:space="0" w:color="auto"/>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3</w:t>
            </w:r>
          </w:p>
        </w:tc>
        <w:tc>
          <w:tcPr>
            <w:tcW w:w="80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30</w:t>
            </w:r>
          </w:p>
        </w:tc>
        <w:tc>
          <w:tcPr>
            <w:tcW w:w="80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60</w:t>
            </w:r>
          </w:p>
        </w:tc>
        <w:tc>
          <w:tcPr>
            <w:tcW w:w="71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90</w:t>
            </w:r>
          </w:p>
        </w:tc>
        <w:tc>
          <w:tcPr>
            <w:tcW w:w="71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120</w:t>
            </w:r>
          </w:p>
        </w:tc>
        <w:tc>
          <w:tcPr>
            <w:tcW w:w="835"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183</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0.01</w:t>
            </w:r>
          </w:p>
        </w:tc>
        <w:tc>
          <w:tcPr>
            <w:tcW w:w="1164"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100</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210</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216</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217</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218</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218</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219</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246</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254</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305</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0.02</w:t>
            </w:r>
          </w:p>
        </w:tc>
        <w:tc>
          <w:tcPr>
            <w:tcW w:w="1164"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50</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240</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248</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253</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254</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254</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274</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313</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329</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390</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0.05</w:t>
            </w:r>
          </w:p>
        </w:tc>
        <w:tc>
          <w:tcPr>
            <w:tcW w:w="1164"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20</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295</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305</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319</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327</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341</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382</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443</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481</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561</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0.10</w:t>
            </w:r>
          </w:p>
        </w:tc>
        <w:tc>
          <w:tcPr>
            <w:tcW w:w="1164"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10</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356</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370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390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411</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440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508</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599</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665</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772</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0.20</w:t>
            </w:r>
          </w:p>
        </w:tc>
        <w:tc>
          <w:tcPr>
            <w:tcW w:w="1164"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5</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451</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469</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498</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539</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598</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710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855</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973</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1,130</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0.50</w:t>
            </w:r>
          </w:p>
        </w:tc>
        <w:tc>
          <w:tcPr>
            <w:tcW w:w="1164"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2</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725</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755</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809</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906</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1,060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1,300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1,630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1,940</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2,280</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0.80</w:t>
            </w:r>
          </w:p>
        </w:tc>
        <w:tc>
          <w:tcPr>
            <w:tcW w:w="116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1.25</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1,200</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1,250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1,340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1,520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1,870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2,270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3,000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3,660</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4,500</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0.90</w:t>
            </w:r>
          </w:p>
        </w:tc>
        <w:tc>
          <w:tcPr>
            <w:tcW w:w="116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1.11</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1,590</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1,640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1,750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1,980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2,490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3,000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4,050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5,000</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6,370</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0.96</w:t>
            </w:r>
          </w:p>
        </w:tc>
        <w:tc>
          <w:tcPr>
            <w:tcW w:w="116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1.04</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2,160</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2,210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2,350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2,630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3,380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3,970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5,530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6,870</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9,140</w:t>
            </w:r>
          </w:p>
        </w:tc>
      </w:tr>
      <w:tr w:rsidR="00471562" w:rsidRPr="00471562" w:rsidTr="00471562">
        <w:trPr>
          <w:trHeight w:val="300"/>
          <w:jc w:val="center"/>
        </w:trPr>
        <w:tc>
          <w:tcPr>
            <w:tcW w:w="126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0.98</w:t>
            </w:r>
          </w:p>
        </w:tc>
        <w:tc>
          <w:tcPr>
            <w:tcW w:w="116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1.02</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2,650</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2,700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2,850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3,160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4,100</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4,720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6,710</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8,370</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11,500</w:t>
            </w:r>
          </w:p>
        </w:tc>
      </w:tr>
      <w:tr w:rsidR="00471562" w:rsidRPr="00471562" w:rsidTr="00471562">
        <w:trPr>
          <w:trHeight w:val="300"/>
          <w:jc w:val="center"/>
        </w:trPr>
        <w:tc>
          <w:tcPr>
            <w:tcW w:w="1263"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0.99</w:t>
            </w:r>
          </w:p>
        </w:tc>
        <w:tc>
          <w:tcPr>
            <w:tcW w:w="116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1.01</w:t>
            </w:r>
          </w:p>
        </w:tc>
        <w:tc>
          <w:tcPr>
            <w:tcW w:w="1381"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3,190</w:t>
            </w:r>
          </w:p>
        </w:tc>
        <w:tc>
          <w:tcPr>
            <w:tcW w:w="895"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3,240</w:t>
            </w:r>
          </w:p>
        </w:tc>
        <w:tc>
          <w:tcPr>
            <w:tcW w:w="80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3,390</w:t>
            </w:r>
          </w:p>
        </w:tc>
        <w:tc>
          <w:tcPr>
            <w:tcW w:w="80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3,720</w:t>
            </w:r>
          </w:p>
        </w:tc>
        <w:tc>
          <w:tcPr>
            <w:tcW w:w="71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4,870</w:t>
            </w:r>
          </w:p>
        </w:tc>
        <w:tc>
          <w:tcPr>
            <w:tcW w:w="80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5,500</w:t>
            </w:r>
          </w:p>
        </w:tc>
        <w:tc>
          <w:tcPr>
            <w:tcW w:w="71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7,960</w:t>
            </w:r>
          </w:p>
        </w:tc>
        <w:tc>
          <w:tcPr>
            <w:tcW w:w="71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9,950</w:t>
            </w:r>
          </w:p>
        </w:tc>
        <w:tc>
          <w:tcPr>
            <w:tcW w:w="835"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14,100</w:t>
            </w:r>
          </w:p>
        </w:tc>
      </w:tr>
      <w:tr w:rsidR="00471562" w:rsidRPr="00471562" w:rsidTr="00471562">
        <w:trPr>
          <w:trHeight w:val="300"/>
          <w:jc w:val="center"/>
        </w:trPr>
        <w:tc>
          <w:tcPr>
            <w:tcW w:w="2427" w:type="dxa"/>
            <w:gridSpan w:val="2"/>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Kentau statistic</w:t>
            </w:r>
          </w:p>
        </w:tc>
        <w:tc>
          <w:tcPr>
            <w:tcW w:w="1381"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-0.123</w:t>
            </w:r>
          </w:p>
        </w:tc>
        <w:tc>
          <w:tcPr>
            <w:tcW w:w="89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-0.115</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-0.055</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-0.028</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0.012</w:t>
            </w:r>
          </w:p>
        </w:tc>
        <w:tc>
          <w:tcPr>
            <w:tcW w:w="804"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-0.004</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0.043</w:t>
            </w:r>
          </w:p>
        </w:tc>
        <w:tc>
          <w:tcPr>
            <w:tcW w:w="71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0.028</w:t>
            </w:r>
          </w:p>
        </w:tc>
        <w:tc>
          <w:tcPr>
            <w:tcW w:w="835"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-0.036</w:t>
            </w:r>
          </w:p>
        </w:tc>
      </w:tr>
      <w:tr w:rsidR="00471562" w:rsidRPr="00471562" w:rsidTr="00471562">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P-value</w:t>
            </w:r>
          </w:p>
        </w:tc>
        <w:tc>
          <w:tcPr>
            <w:tcW w:w="1381"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0.428</w:t>
            </w:r>
          </w:p>
        </w:tc>
        <w:tc>
          <w:tcPr>
            <w:tcW w:w="895"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0.460</w:t>
            </w:r>
          </w:p>
        </w:tc>
        <w:tc>
          <w:tcPr>
            <w:tcW w:w="80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0.731</w:t>
            </w:r>
          </w:p>
        </w:tc>
        <w:tc>
          <w:tcPr>
            <w:tcW w:w="80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0.874</w:t>
            </w:r>
          </w:p>
        </w:tc>
        <w:tc>
          <w:tcPr>
            <w:tcW w:w="71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0.958</w:t>
            </w:r>
          </w:p>
        </w:tc>
        <w:tc>
          <w:tcPr>
            <w:tcW w:w="804"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0.792</w:t>
            </w:r>
          </w:p>
        </w:tc>
        <w:tc>
          <w:tcPr>
            <w:tcW w:w="71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0.874</w:t>
            </w:r>
          </w:p>
        </w:tc>
        <w:tc>
          <w:tcPr>
            <w:tcW w:w="835"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0.833</w:t>
            </w:r>
          </w:p>
        </w:tc>
      </w:tr>
    </w:tbl>
    <w:p w:rsidR="00F643B1" w:rsidRPr="00567261" w:rsidRDefault="00F643B1" w:rsidP="00567261">
      <w:pPr>
        <w:jc w:val="center"/>
        <w:rPr>
          <w:sz w:val="24"/>
          <w:szCs w:val="24"/>
        </w:rP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471562" w:rsidRPr="00471562" w:rsidTr="00471562">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05487500 Annual nonexceedance probability of seasonal low discharges, based on October 1985 to September 2009 regulated period of record (24 years)</w:t>
            </w:r>
          </w:p>
        </w:tc>
      </w:tr>
      <w:tr w:rsidR="00471562" w:rsidRPr="00471562" w:rsidTr="00471562">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Minimum average discharge (cubic feet per second)                                                                          for indicated number of consecutive days</w:t>
            </w:r>
          </w:p>
        </w:tc>
      </w:tr>
      <w:tr w:rsidR="00471562" w:rsidRPr="00471562" w:rsidTr="00471562">
        <w:trPr>
          <w:trHeight w:val="495"/>
          <w:jc w:val="center"/>
        </w:trPr>
        <w:tc>
          <w:tcPr>
            <w:tcW w:w="1453" w:type="dxa"/>
            <w:vMerge/>
            <w:tcBorders>
              <w:top w:val="nil"/>
              <w:left w:val="nil"/>
              <w:bottom w:val="single" w:sz="4" w:space="0" w:color="000000"/>
              <w:right w:val="nil"/>
            </w:tcBorders>
            <w:vAlign w:val="center"/>
            <w:hideMark/>
          </w:tcPr>
          <w:p w:rsidR="00471562" w:rsidRPr="00471562" w:rsidRDefault="00471562" w:rsidP="00471562">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471562" w:rsidRPr="00471562" w:rsidRDefault="00471562" w:rsidP="00471562">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30</w:t>
            </w:r>
          </w:p>
        </w:tc>
      </w:tr>
      <w:tr w:rsidR="00471562" w:rsidRPr="00471562" w:rsidTr="00471562">
        <w:trPr>
          <w:trHeight w:val="300"/>
          <w:jc w:val="center"/>
        </w:trPr>
        <w:tc>
          <w:tcPr>
            <w:tcW w:w="1453" w:type="dxa"/>
            <w:tcBorders>
              <w:top w:val="nil"/>
              <w:left w:val="nil"/>
              <w:bottom w:val="nil"/>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April-May-June</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471562" w:rsidRPr="00471562" w:rsidRDefault="00471562" w:rsidP="00AC1A3A">
            <w:pPr>
              <w:spacing w:after="0" w:line="240" w:lineRule="auto"/>
              <w:jc w:val="center"/>
              <w:rPr>
                <w:rFonts w:ascii="Calibri" w:eastAsia="Times New Roman" w:hAnsi="Calibri" w:cs="Times New Roman"/>
              </w:rPr>
            </w:pPr>
            <w:r w:rsidRPr="00471562">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193</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213</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234</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234</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252</w:t>
            </w:r>
          </w:p>
        </w:tc>
        <w:tc>
          <w:tcPr>
            <w:tcW w:w="829" w:type="dxa"/>
            <w:tcBorders>
              <w:top w:val="nil"/>
              <w:left w:val="nil"/>
              <w:bottom w:val="nil"/>
              <w:right w:val="nil"/>
            </w:tcBorders>
            <w:shd w:val="clear" w:color="000000" w:fill="FFFFFF"/>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281</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339</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447</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237</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259</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283</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290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371</w:t>
            </w:r>
          </w:p>
        </w:tc>
        <w:tc>
          <w:tcPr>
            <w:tcW w:w="829" w:type="dxa"/>
            <w:tcBorders>
              <w:top w:val="nil"/>
              <w:left w:val="nil"/>
              <w:bottom w:val="nil"/>
              <w:right w:val="nil"/>
            </w:tcBorders>
            <w:shd w:val="clear" w:color="000000" w:fill="FFFFFF"/>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416</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498</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669</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321</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347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378</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402</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642</w:t>
            </w:r>
          </w:p>
        </w:tc>
        <w:tc>
          <w:tcPr>
            <w:tcW w:w="829" w:type="dxa"/>
            <w:tcBorders>
              <w:top w:val="nil"/>
              <w:left w:val="nil"/>
              <w:bottom w:val="nil"/>
              <w:right w:val="nil"/>
            </w:tcBorders>
            <w:shd w:val="clear" w:color="000000" w:fill="FFFFFF"/>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726</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865</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1,190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418</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450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490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535</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1,020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1,160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1,370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1,900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572</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617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670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749</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1,710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1,960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2,330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3,230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1,020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1,120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1,220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1,400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4,170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4,840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5,780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7,830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1,790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2,050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2,250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2,540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8,890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10,400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12,700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16,200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2,380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2,800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3,100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3,430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12,600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14,800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18,300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22,400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3,200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3,910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4,360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4,690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17,500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20,800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26,100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30,300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3,860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4,850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5,440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5,720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21,400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25,500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32,200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36,100</w:t>
            </w:r>
          </w:p>
        </w:tc>
      </w:tr>
      <w:tr w:rsidR="00471562" w:rsidRPr="00471562" w:rsidTr="00471562">
        <w:trPr>
          <w:trHeight w:val="300"/>
          <w:jc w:val="center"/>
        </w:trPr>
        <w:tc>
          <w:tcPr>
            <w:tcW w:w="1453"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4,550</w:t>
            </w:r>
          </w:p>
        </w:tc>
        <w:tc>
          <w:tcPr>
            <w:tcW w:w="93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5,880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6,650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6,810</w:t>
            </w:r>
          </w:p>
        </w:tc>
        <w:tc>
          <w:tcPr>
            <w:tcW w:w="266"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r w:rsidRPr="00471562">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25,200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30,100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38,500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41,600</w:t>
            </w:r>
          </w:p>
        </w:tc>
      </w:tr>
      <w:tr w:rsidR="00471562" w:rsidRPr="00471562" w:rsidTr="00471562">
        <w:trPr>
          <w:trHeight w:val="300"/>
          <w:jc w:val="center"/>
        </w:trPr>
        <w:tc>
          <w:tcPr>
            <w:tcW w:w="2542" w:type="dxa"/>
            <w:gridSpan w:val="2"/>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0.004</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0.036</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0.051</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0.000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0.065</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0.087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0.101</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0.087</w:t>
            </w:r>
          </w:p>
        </w:tc>
      </w:tr>
      <w:tr w:rsidR="00471562" w:rsidRPr="00471562" w:rsidTr="00471562">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1.000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0.823</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0.747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1.000</w:t>
            </w:r>
          </w:p>
        </w:tc>
        <w:tc>
          <w:tcPr>
            <w:tcW w:w="266"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0.673</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0.568</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0.503</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0.568</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471562" w:rsidRPr="00471562" w:rsidRDefault="00471562" w:rsidP="00471562">
            <w:pPr>
              <w:spacing w:after="0" w:line="240" w:lineRule="auto"/>
              <w:jc w:val="center"/>
              <w:rPr>
                <w:rFonts w:ascii="Calibri" w:eastAsia="Times New Roman" w:hAnsi="Calibri" w:cs="Times New Roman"/>
                <w:color w:val="000000"/>
              </w:rPr>
            </w:pPr>
            <w:r w:rsidRPr="00471562">
              <w:rPr>
                <w:rFonts w:ascii="Calibri" w:eastAsia="Times New Roman" w:hAnsi="Calibri" w:cs="Times New Roman"/>
                <w:color w:val="000000"/>
              </w:rPr>
              <w:t>October-November-December</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471562" w:rsidRPr="00471562" w:rsidRDefault="00471562" w:rsidP="00AC1A3A">
            <w:pPr>
              <w:spacing w:after="0" w:line="240" w:lineRule="auto"/>
              <w:jc w:val="center"/>
              <w:rPr>
                <w:rFonts w:ascii="Calibri" w:eastAsia="Times New Roman" w:hAnsi="Calibri" w:cs="Times New Roman"/>
              </w:rPr>
            </w:pPr>
            <w:r w:rsidRPr="00471562">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381</w:t>
            </w:r>
          </w:p>
        </w:tc>
        <w:tc>
          <w:tcPr>
            <w:tcW w:w="938" w:type="dxa"/>
            <w:tcBorders>
              <w:top w:val="nil"/>
              <w:left w:val="nil"/>
              <w:bottom w:val="nil"/>
              <w:right w:val="nil"/>
            </w:tcBorders>
            <w:shd w:val="clear" w:color="000000" w:fill="FFFFFF"/>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407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447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494</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186</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186</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190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200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388</w:t>
            </w:r>
          </w:p>
        </w:tc>
        <w:tc>
          <w:tcPr>
            <w:tcW w:w="938" w:type="dxa"/>
            <w:tcBorders>
              <w:top w:val="nil"/>
              <w:left w:val="nil"/>
              <w:bottom w:val="nil"/>
              <w:right w:val="nil"/>
            </w:tcBorders>
            <w:shd w:val="clear" w:color="000000" w:fill="FFFFFF"/>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417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462</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524</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234</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234</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241</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260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407</w:t>
            </w:r>
          </w:p>
        </w:tc>
        <w:tc>
          <w:tcPr>
            <w:tcW w:w="938" w:type="dxa"/>
            <w:tcBorders>
              <w:top w:val="nil"/>
              <w:left w:val="nil"/>
              <w:bottom w:val="nil"/>
              <w:right w:val="nil"/>
            </w:tcBorders>
            <w:shd w:val="clear" w:color="000000" w:fill="FFFFFF"/>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442</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497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589</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307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327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344</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381</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436</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479</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547</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674</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389</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438</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468</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530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497</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554</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645</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829</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521</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619</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675</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783</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471562" w:rsidRPr="00471562" w:rsidRDefault="00AC1A3A" w:rsidP="00AC1A3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471562" w:rsidRPr="00471562">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778</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886</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1,060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1,440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921</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1,170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1,330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1,590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1,700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1,940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2,300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3,170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1,660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2,130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2,560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3,110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3,000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3,380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3,950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5,300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2,270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2,880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3,570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4,340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6,230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6,850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7,790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9,980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3,190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3,930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5,040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6,110</w:t>
            </w:r>
          </w:p>
        </w:tc>
      </w:tr>
      <w:tr w:rsidR="00471562" w:rsidRPr="00471562" w:rsidTr="00471562">
        <w:trPr>
          <w:trHeight w:val="300"/>
          <w:jc w:val="center"/>
        </w:trPr>
        <w:tc>
          <w:tcPr>
            <w:tcW w:w="1453"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10,800</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12,800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15,800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3,990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4,780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6,280</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7,570</w:t>
            </w:r>
          </w:p>
        </w:tc>
      </w:tr>
      <w:tr w:rsidR="00471562" w:rsidRPr="00471562" w:rsidTr="00471562">
        <w:trPr>
          <w:trHeight w:val="300"/>
          <w:jc w:val="center"/>
        </w:trPr>
        <w:tc>
          <w:tcPr>
            <w:tcW w:w="1453"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18,500</w:t>
            </w:r>
          </w:p>
        </w:tc>
        <w:tc>
          <w:tcPr>
            <w:tcW w:w="93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19,400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21,000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24,600</w:t>
            </w:r>
          </w:p>
        </w:tc>
        <w:tc>
          <w:tcPr>
            <w:tcW w:w="266"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rPr>
            </w:pPr>
            <w:r w:rsidRPr="00471562">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4,880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5,690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7,620</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rPr>
            </w:pPr>
            <w:r w:rsidRPr="00471562">
              <w:rPr>
                <w:rFonts w:ascii="Calibri" w:eastAsia="Times New Roman" w:hAnsi="Calibri" w:cs="Times New Roman"/>
              </w:rPr>
              <w:t>9,140</w:t>
            </w:r>
          </w:p>
        </w:tc>
      </w:tr>
      <w:tr w:rsidR="00471562" w:rsidRPr="00471562" w:rsidTr="00471562">
        <w:trPr>
          <w:trHeight w:val="300"/>
          <w:jc w:val="center"/>
        </w:trPr>
        <w:tc>
          <w:tcPr>
            <w:tcW w:w="2542" w:type="dxa"/>
            <w:gridSpan w:val="2"/>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-0.167</w:t>
            </w:r>
          </w:p>
        </w:tc>
        <w:tc>
          <w:tcPr>
            <w:tcW w:w="938"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-0.159</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-0.116</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-0.130</w:t>
            </w:r>
          </w:p>
        </w:tc>
        <w:tc>
          <w:tcPr>
            <w:tcW w:w="266"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-0.029</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-0.072</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-0.094</w:t>
            </w:r>
          </w:p>
        </w:tc>
        <w:tc>
          <w:tcPr>
            <w:tcW w:w="829" w:type="dxa"/>
            <w:tcBorders>
              <w:top w:val="nil"/>
              <w:left w:val="nil"/>
              <w:bottom w:val="nil"/>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-0.058</w:t>
            </w:r>
          </w:p>
        </w:tc>
      </w:tr>
      <w:tr w:rsidR="00471562" w:rsidRPr="00471562" w:rsidTr="00471562">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0.264</w:t>
            </w:r>
          </w:p>
        </w:tc>
        <w:tc>
          <w:tcPr>
            <w:tcW w:w="938"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0.286</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0.442</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0.385</w:t>
            </w:r>
          </w:p>
        </w:tc>
        <w:tc>
          <w:tcPr>
            <w:tcW w:w="266"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rPr>
                <w:rFonts w:ascii="Calibri" w:eastAsia="Times New Roman" w:hAnsi="Calibri" w:cs="Times New Roman"/>
                <w:color w:val="000000"/>
              </w:rPr>
            </w:pPr>
            <w:r w:rsidRPr="00471562">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0.862</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0.637</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0.535</w:t>
            </w:r>
          </w:p>
        </w:tc>
        <w:tc>
          <w:tcPr>
            <w:tcW w:w="829" w:type="dxa"/>
            <w:tcBorders>
              <w:top w:val="nil"/>
              <w:left w:val="nil"/>
              <w:bottom w:val="single" w:sz="4" w:space="0" w:color="auto"/>
              <w:right w:val="nil"/>
            </w:tcBorders>
            <w:shd w:val="clear" w:color="auto" w:fill="auto"/>
            <w:noWrap/>
            <w:vAlign w:val="bottom"/>
            <w:hideMark/>
          </w:tcPr>
          <w:p w:rsidR="00471562" w:rsidRPr="00471562" w:rsidRDefault="00471562" w:rsidP="00471562">
            <w:pPr>
              <w:spacing w:after="0" w:line="240" w:lineRule="auto"/>
              <w:jc w:val="right"/>
              <w:rPr>
                <w:rFonts w:ascii="Calibri" w:eastAsia="Times New Roman" w:hAnsi="Calibri" w:cs="Times New Roman"/>
                <w:color w:val="000000"/>
              </w:rPr>
            </w:pPr>
            <w:r w:rsidRPr="00471562">
              <w:rPr>
                <w:rFonts w:ascii="Calibri" w:eastAsia="Times New Roman" w:hAnsi="Calibri" w:cs="Times New Roman"/>
                <w:color w:val="000000"/>
              </w:rPr>
              <w:t>0.710</w:t>
            </w:r>
          </w:p>
        </w:tc>
      </w:tr>
    </w:tbl>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FE454F" w:rsidRPr="00471562" w:rsidRDefault="00FE454F" w:rsidP="00471562">
      <w:pPr>
        <w:tabs>
          <w:tab w:val="left" w:pos="7170"/>
        </w:tabs>
      </w:pPr>
    </w:p>
    <w:sectPr w:rsidR="00FE454F" w:rsidRPr="00471562" w:rsidSect="004715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56" w:rsidRDefault="00C50856" w:rsidP="00635780">
      <w:pPr>
        <w:spacing w:after="0" w:line="240" w:lineRule="auto"/>
      </w:pPr>
      <w:r>
        <w:separator/>
      </w:r>
    </w:p>
  </w:endnote>
  <w:endnote w:type="continuationSeparator" w:id="0">
    <w:p w:rsidR="00C50856" w:rsidRDefault="00C50856"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AC1A3A" w:rsidRDefault="00AC1A3A">
        <w:pPr>
          <w:pStyle w:val="Footer"/>
          <w:jc w:val="center"/>
        </w:pPr>
        <w:r>
          <w:fldChar w:fldCharType="begin"/>
        </w:r>
        <w:r>
          <w:instrText xml:space="preserve"> PAGE   \* MERGEFORMAT </w:instrText>
        </w:r>
        <w:r>
          <w:fldChar w:fldCharType="separate"/>
        </w:r>
        <w:r w:rsidR="001347F2">
          <w:rPr>
            <w:noProof/>
          </w:rPr>
          <w:t>2</w:t>
        </w:r>
        <w:r>
          <w:rPr>
            <w:noProof/>
          </w:rPr>
          <w:fldChar w:fldCharType="end"/>
        </w:r>
      </w:p>
    </w:sdtContent>
  </w:sdt>
  <w:p w:rsidR="00AC1A3A" w:rsidRDefault="00AC1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56" w:rsidRDefault="00C50856" w:rsidP="00635780">
      <w:pPr>
        <w:spacing w:after="0" w:line="240" w:lineRule="auto"/>
      </w:pPr>
      <w:r>
        <w:separator/>
      </w:r>
    </w:p>
  </w:footnote>
  <w:footnote w:type="continuationSeparator" w:id="0">
    <w:p w:rsidR="00C50856" w:rsidRDefault="00C50856"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3A" w:rsidRPr="00094819" w:rsidRDefault="00AC1A3A"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AC1A3A" w:rsidRPr="00094819" w:rsidRDefault="00AC1A3A"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7</w:t>
    </w:r>
    <w:r w:rsidRPr="00094819">
      <w:rPr>
        <w:rFonts w:ascii="Arial Narrow" w:hAnsi="Arial Narrow" w:cs="Arial"/>
        <w:b/>
        <w:sz w:val="32"/>
        <w:szCs w:val="32"/>
      </w:rPr>
      <w:t xml:space="preserve">500 </w:t>
    </w:r>
    <w:r>
      <w:rPr>
        <w:rFonts w:ascii="Arial Narrow" w:hAnsi="Arial Narrow" w:cs="Arial"/>
        <w:b/>
        <w:sz w:val="32"/>
        <w:szCs w:val="32"/>
      </w:rPr>
      <w:t>DES MOINES</w:t>
    </w:r>
    <w:r w:rsidRPr="00094819">
      <w:rPr>
        <w:rFonts w:ascii="Arial Narrow" w:hAnsi="Arial Narrow" w:cs="Arial"/>
        <w:b/>
        <w:sz w:val="32"/>
        <w:szCs w:val="32"/>
      </w:rPr>
      <w:t xml:space="preserve"> RIVER NEAR </w:t>
    </w:r>
    <w:r>
      <w:rPr>
        <w:rFonts w:ascii="Arial Narrow" w:hAnsi="Arial Narrow" w:cs="Arial"/>
        <w:b/>
        <w:sz w:val="32"/>
        <w:szCs w:val="32"/>
      </w:rPr>
      <w:t>RUNNELLS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0F1A05"/>
    <w:rsid w:val="00113F25"/>
    <w:rsid w:val="00116467"/>
    <w:rsid w:val="00124F66"/>
    <w:rsid w:val="00126B54"/>
    <w:rsid w:val="0013416F"/>
    <w:rsid w:val="001347F2"/>
    <w:rsid w:val="0013659E"/>
    <w:rsid w:val="00140959"/>
    <w:rsid w:val="001515C5"/>
    <w:rsid w:val="00154BFD"/>
    <w:rsid w:val="00167A5E"/>
    <w:rsid w:val="0019335F"/>
    <w:rsid w:val="001B5F18"/>
    <w:rsid w:val="001E5AD5"/>
    <w:rsid w:val="001F168F"/>
    <w:rsid w:val="002055F7"/>
    <w:rsid w:val="00221243"/>
    <w:rsid w:val="00222A52"/>
    <w:rsid w:val="002304C1"/>
    <w:rsid w:val="00233460"/>
    <w:rsid w:val="00253B4D"/>
    <w:rsid w:val="00260268"/>
    <w:rsid w:val="00272325"/>
    <w:rsid w:val="00282A42"/>
    <w:rsid w:val="002850BB"/>
    <w:rsid w:val="0029065E"/>
    <w:rsid w:val="00290E10"/>
    <w:rsid w:val="002A2ABC"/>
    <w:rsid w:val="002B2259"/>
    <w:rsid w:val="002E73CA"/>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562"/>
    <w:rsid w:val="00471CA2"/>
    <w:rsid w:val="00483DFA"/>
    <w:rsid w:val="00485319"/>
    <w:rsid w:val="004B4EBA"/>
    <w:rsid w:val="004E0BB4"/>
    <w:rsid w:val="004F5C1C"/>
    <w:rsid w:val="004F74DB"/>
    <w:rsid w:val="00503EC2"/>
    <w:rsid w:val="005168E7"/>
    <w:rsid w:val="00517C51"/>
    <w:rsid w:val="00536D55"/>
    <w:rsid w:val="0053704D"/>
    <w:rsid w:val="00561971"/>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40CD"/>
    <w:rsid w:val="008460C8"/>
    <w:rsid w:val="00861BB3"/>
    <w:rsid w:val="008754F5"/>
    <w:rsid w:val="008B75EA"/>
    <w:rsid w:val="008E0ADE"/>
    <w:rsid w:val="00942523"/>
    <w:rsid w:val="00951281"/>
    <w:rsid w:val="009A1A8E"/>
    <w:rsid w:val="009A784A"/>
    <w:rsid w:val="009D2E81"/>
    <w:rsid w:val="009F1E3A"/>
    <w:rsid w:val="009F62E0"/>
    <w:rsid w:val="00A10B0C"/>
    <w:rsid w:val="00A334EC"/>
    <w:rsid w:val="00A946FB"/>
    <w:rsid w:val="00AA1A67"/>
    <w:rsid w:val="00AA1C5D"/>
    <w:rsid w:val="00AA4302"/>
    <w:rsid w:val="00AC1A3A"/>
    <w:rsid w:val="00AD477B"/>
    <w:rsid w:val="00AF1A2F"/>
    <w:rsid w:val="00AF4A94"/>
    <w:rsid w:val="00B152C1"/>
    <w:rsid w:val="00B23356"/>
    <w:rsid w:val="00B42E17"/>
    <w:rsid w:val="00B52016"/>
    <w:rsid w:val="00B73FD0"/>
    <w:rsid w:val="00B73FF2"/>
    <w:rsid w:val="00B92AE3"/>
    <w:rsid w:val="00BB2574"/>
    <w:rsid w:val="00BB5119"/>
    <w:rsid w:val="00BC45FF"/>
    <w:rsid w:val="00BC5E67"/>
    <w:rsid w:val="00BD4D82"/>
    <w:rsid w:val="00BE7A08"/>
    <w:rsid w:val="00C13C1C"/>
    <w:rsid w:val="00C17B46"/>
    <w:rsid w:val="00C31CCF"/>
    <w:rsid w:val="00C40F35"/>
    <w:rsid w:val="00C50856"/>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D6197"/>
    <w:rsid w:val="00DE6A15"/>
    <w:rsid w:val="00DE6F63"/>
    <w:rsid w:val="00DF41E8"/>
    <w:rsid w:val="00E02D5C"/>
    <w:rsid w:val="00E0447F"/>
    <w:rsid w:val="00E17B6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38556978">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67317680">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02911917">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18704412">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09499007">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7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1308-6B68-4AD1-8A83-349F89C9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2015-03-17T17:41:00Z</cp:lastPrinted>
  <dcterms:created xsi:type="dcterms:W3CDTF">2015-05-27T21:53:00Z</dcterms:created>
  <dcterms:modified xsi:type="dcterms:W3CDTF">2015-12-15T16:04:00Z</dcterms:modified>
</cp:coreProperties>
</file>