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7D2CF6" w:rsidRPr="00EC5728" w:rsidRDefault="007D2CF6" w:rsidP="007D2CF6">
      <w:pPr>
        <w:pStyle w:val="PlainText"/>
        <w:rPr>
          <w:rFonts w:ascii="Arial Narrow" w:hAnsi="Arial Narrow" w:cs="Courier New"/>
          <w:sz w:val="22"/>
          <w:szCs w:val="22"/>
        </w:rPr>
      </w:pPr>
    </w:p>
    <w:p w:rsidR="007D2CF6" w:rsidRPr="00EC5728" w:rsidRDefault="007D2CF6" w:rsidP="007D2CF6">
      <w:pPr>
        <w:pStyle w:val="PlainText"/>
        <w:rPr>
          <w:rFonts w:ascii="Arial Narrow" w:hAnsi="Arial Narrow" w:cs="Courier New"/>
          <w:sz w:val="22"/>
          <w:szCs w:val="22"/>
        </w:rPr>
      </w:pPr>
      <w:r w:rsidRPr="00EC5728">
        <w:rPr>
          <w:rFonts w:ascii="Arial Narrow" w:hAnsi="Arial Narrow" w:cs="Courier New"/>
          <w:sz w:val="22"/>
          <w:szCs w:val="22"/>
        </w:rPr>
        <w:t>LOCATION.--Lat 40°26'48", long 91°29'05" referenced to North American Datum of 1927, in NW 1/4 SE 1/4 NW 1/4 sec.07, T.65 N., R.5 W., Lee County, IA, Hydrologic Unit 07100009, on left bank 15 ft downstream from bridge on County Highway W62, 3.0 mi northwest of Keokuk, 3.6 mi downstream from Barlean Creek, and 4.9 mi upstream from mouth.</w:t>
      </w:r>
    </w:p>
    <w:p w:rsidR="007D2CF6" w:rsidRPr="00EC5728" w:rsidRDefault="007D2CF6" w:rsidP="007D2CF6">
      <w:pPr>
        <w:pStyle w:val="PlainText"/>
        <w:rPr>
          <w:rFonts w:ascii="Arial Narrow" w:hAnsi="Arial Narrow" w:cs="Courier New"/>
          <w:sz w:val="22"/>
          <w:szCs w:val="22"/>
        </w:rPr>
      </w:pPr>
    </w:p>
    <w:p w:rsidR="007D2CF6" w:rsidRPr="00EC5728" w:rsidRDefault="007D2CF6" w:rsidP="007D2CF6">
      <w:pPr>
        <w:pStyle w:val="PlainText"/>
        <w:rPr>
          <w:rFonts w:ascii="Arial Narrow" w:hAnsi="Arial Narrow" w:cs="Courier New"/>
          <w:sz w:val="22"/>
          <w:szCs w:val="22"/>
        </w:rPr>
      </w:pPr>
      <w:r w:rsidRPr="00EC5728">
        <w:rPr>
          <w:rFonts w:ascii="Arial Narrow" w:hAnsi="Arial Narrow" w:cs="Courier New"/>
          <w:sz w:val="22"/>
          <w:szCs w:val="22"/>
        </w:rPr>
        <w:t>DRAINAGE AREA.--105 mi².</w:t>
      </w:r>
    </w:p>
    <w:p w:rsidR="007D2CF6" w:rsidRPr="00EC5728" w:rsidRDefault="007D2CF6" w:rsidP="007D2CF6">
      <w:pPr>
        <w:pStyle w:val="PlainText"/>
        <w:rPr>
          <w:rFonts w:ascii="Arial Narrow" w:hAnsi="Arial Narrow" w:cs="Courier New"/>
          <w:sz w:val="22"/>
          <w:szCs w:val="22"/>
        </w:rPr>
      </w:pPr>
    </w:p>
    <w:p w:rsidR="007D2CF6" w:rsidRPr="00EC5728" w:rsidRDefault="007D2CF6" w:rsidP="007D2CF6">
      <w:pPr>
        <w:pStyle w:val="PlainText"/>
        <w:rPr>
          <w:rFonts w:ascii="Arial Narrow" w:hAnsi="Arial Narrow" w:cs="Courier New"/>
          <w:sz w:val="22"/>
          <w:szCs w:val="22"/>
        </w:rPr>
      </w:pPr>
      <w:r w:rsidRPr="00EC5728">
        <w:rPr>
          <w:rFonts w:ascii="Arial Narrow" w:hAnsi="Arial Narrow" w:cs="Courier New"/>
          <w:sz w:val="22"/>
          <w:szCs w:val="22"/>
        </w:rPr>
        <w:t>PERIOD OF RECORD.--Discharge records from March 1922 to September 1931, August 1958 to October 1973. Monthly discharges only for some periods published in WSP 1308.</w:t>
      </w:r>
    </w:p>
    <w:p w:rsidR="007D2CF6" w:rsidRPr="00EC5728" w:rsidRDefault="007D2CF6" w:rsidP="007D2CF6">
      <w:pPr>
        <w:pStyle w:val="PlainText"/>
        <w:rPr>
          <w:rFonts w:ascii="Arial Narrow" w:hAnsi="Arial Narrow" w:cs="Courier New"/>
          <w:sz w:val="22"/>
          <w:szCs w:val="22"/>
        </w:rPr>
      </w:pPr>
    </w:p>
    <w:p w:rsidR="007C3F51" w:rsidRDefault="007D2CF6" w:rsidP="00584ADC">
      <w:pPr>
        <w:pStyle w:val="PlainText"/>
        <w:rPr>
          <w:rFonts w:ascii="Arial Narrow" w:hAnsi="Arial Narrow" w:cs="Courier New"/>
          <w:sz w:val="22"/>
          <w:szCs w:val="22"/>
        </w:rPr>
      </w:pPr>
      <w:r w:rsidRPr="00EC5728">
        <w:rPr>
          <w:rFonts w:ascii="Arial Narrow" w:hAnsi="Arial Narrow" w:cs="Courier New"/>
          <w:sz w:val="22"/>
          <w:szCs w:val="22"/>
        </w:rPr>
        <w:t>GAGE.--Water-stage recorder. Datum of gage is 510.20 ft above National Geodetic Vertical Datum of 1929. Prior to June 25, 1923, and November 28, 1928 to September 30, 1931, non-recording gage; June 25, 1923, to November 27, 1928, and August 29, 1958, to September 30, 1967, water-stage recorder; all at site of former bridge on old channel, 0.5 mi downstream at same datum. October 1, 1967, to March 11, 1968, non-recording gage at same site and datum.</w:t>
      </w:r>
    </w:p>
    <w:p w:rsidR="00584ADC" w:rsidRDefault="00584ADC" w:rsidP="00584ADC">
      <w:pPr>
        <w:pStyle w:val="PlainText"/>
        <w:rPr>
          <w:rFonts w:ascii="Arial Narrow" w:hAnsi="Arial Narrow" w:cs="Courier New"/>
          <w:sz w:val="22"/>
          <w:szCs w:val="22"/>
        </w:rPr>
      </w:pPr>
    </w:p>
    <w:p w:rsidR="00584ADC" w:rsidRDefault="00584ADC" w:rsidP="00584ADC">
      <w:pPr>
        <w:pStyle w:val="PlainText"/>
        <w:rPr>
          <w:rFonts w:ascii="Arial Narrow" w:hAnsi="Arial Narrow" w:cs="Courier New"/>
          <w:sz w:val="22"/>
          <w:szCs w:val="22"/>
        </w:rPr>
      </w:pPr>
    </w:p>
    <w:p w:rsidR="00584ADC" w:rsidRPr="00584ADC" w:rsidRDefault="00584ADC" w:rsidP="00584ADC">
      <w:pPr>
        <w:pStyle w:val="PlainText"/>
        <w:rPr>
          <w:rFonts w:ascii="Arial Narrow" w:hAnsi="Arial Narrow" w:cs="Courier New"/>
          <w:sz w:val="22"/>
          <w:szCs w:val="22"/>
        </w:rPr>
      </w:pPr>
    </w:p>
    <w:p w:rsidR="006162FF" w:rsidRPr="00EC5728" w:rsidRDefault="00D0469C" w:rsidP="007A5691">
      <w:pPr>
        <w:rPr>
          <w:rFonts w:ascii="Arial Narrow" w:hAnsi="Arial Narrow"/>
        </w:rPr>
      </w:pPr>
      <w:r w:rsidRPr="00EC5728">
        <w:rPr>
          <w:rFonts w:ascii="Arial Narrow" w:hAnsi="Arial Narrow"/>
        </w:rPr>
        <w:t>A summary of all available</w:t>
      </w:r>
      <w:r w:rsidR="00654E98" w:rsidRPr="00EC5728">
        <w:rPr>
          <w:rFonts w:ascii="Arial Narrow" w:hAnsi="Arial Narrow"/>
        </w:rPr>
        <w:t xml:space="preserve"> </w:t>
      </w:r>
      <w:r w:rsidR="00282A42" w:rsidRPr="00EC5728">
        <w:rPr>
          <w:rFonts w:ascii="Arial Narrow" w:hAnsi="Arial Narrow"/>
        </w:rPr>
        <w:t>data</w:t>
      </w:r>
      <w:r w:rsidR="007A5691" w:rsidRPr="00EC5728">
        <w:rPr>
          <w:rFonts w:ascii="Arial Narrow" w:hAnsi="Arial Narrow"/>
        </w:rPr>
        <w:t xml:space="preserve"> for this streamgage </w:t>
      </w:r>
      <w:r w:rsidR="007B6CCF" w:rsidRPr="00EC5728">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C5728">
        <w:rPr>
          <w:rFonts w:ascii="Arial Narrow" w:hAnsi="Arial Narrow"/>
        </w:rPr>
        <w:t>,</w:t>
      </w:r>
      <w:r w:rsidR="007B6CCF" w:rsidRPr="00EC5728">
        <w:rPr>
          <w:rFonts w:ascii="Arial Narrow" w:hAnsi="Arial Narrow"/>
        </w:rPr>
        <w:t xml:space="preserve"> and can be output in various tabular and graphical formats.</w:t>
      </w:r>
    </w:p>
    <w:p w:rsidR="00ED06BE" w:rsidRPr="00EC5728" w:rsidRDefault="00B904BB" w:rsidP="00ED06BE">
      <w:pPr>
        <w:jc w:val="center"/>
        <w:rPr>
          <w:rStyle w:val="Hyperlink"/>
          <w:rFonts w:ascii="Arial Narrow" w:hAnsi="Arial Narrow"/>
        </w:rPr>
      </w:pPr>
      <w:hyperlink r:id="rId8" w:history="1">
        <w:r w:rsidR="00C25683" w:rsidRPr="00EC5728">
          <w:rPr>
            <w:rStyle w:val="Hyperlink"/>
            <w:rFonts w:ascii="Arial Narrow" w:hAnsi="Arial Narrow"/>
          </w:rPr>
          <w:t>http://waterdata.usgs.gov/nwis/inventory/?site_no=05491000</w:t>
        </w:r>
      </w:hyperlink>
    </w:p>
    <w:p w:rsidR="00ED06BE" w:rsidRPr="00EC5728" w:rsidRDefault="00ED06BE" w:rsidP="00ED06BE">
      <w:pPr>
        <w:jc w:val="center"/>
        <w:rPr>
          <w:rStyle w:val="Hyperlink"/>
          <w:rFonts w:ascii="Arial Narrow" w:hAnsi="Arial Narrow"/>
        </w:rPr>
      </w:pPr>
    </w:p>
    <w:p w:rsidR="00ED06BE" w:rsidRPr="00EC5728" w:rsidRDefault="00ED06BE" w:rsidP="00ED06BE">
      <w:pPr>
        <w:rPr>
          <w:rFonts w:ascii="Arial Narrow" w:hAnsi="Arial Narrow"/>
        </w:rPr>
      </w:pPr>
      <w:r w:rsidRPr="00EC5728">
        <w:rPr>
          <w:rFonts w:ascii="Arial Narrow" w:hAnsi="Arial Narrow"/>
        </w:rPr>
        <w:t xml:space="preserve">The USGS WaterWatch Toolkit is available at: </w:t>
      </w:r>
    </w:p>
    <w:p w:rsidR="00ED06BE" w:rsidRPr="00EC5728" w:rsidRDefault="00B904BB" w:rsidP="00ED06BE">
      <w:pPr>
        <w:jc w:val="center"/>
        <w:rPr>
          <w:rFonts w:ascii="Arial Narrow" w:hAnsi="Arial Narrow"/>
        </w:rPr>
      </w:pPr>
      <w:hyperlink r:id="rId9" w:history="1">
        <w:r w:rsidR="00ED06BE" w:rsidRPr="00EC5728">
          <w:rPr>
            <w:rStyle w:val="Hyperlink"/>
            <w:rFonts w:ascii="Arial Narrow" w:hAnsi="Arial Narrow"/>
          </w:rPr>
          <w:t>http://waterwatch.usgs.gov/?id=ww_toolkit</w:t>
        </w:r>
      </w:hyperlink>
    </w:p>
    <w:p w:rsidR="00ED06BE" w:rsidRPr="00EC5728" w:rsidRDefault="00ED06BE" w:rsidP="00ED06BE">
      <w:pPr>
        <w:rPr>
          <w:rFonts w:ascii="Arial Narrow" w:hAnsi="Arial Narrow"/>
        </w:rPr>
      </w:pPr>
      <w:r w:rsidRPr="00EC5728">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584ADC" w:rsidRDefault="00584ADC" w:rsidP="00ED06BE">
      <w:pPr>
        <w:rPr>
          <w:rFonts w:ascii="Arial Narrow" w:hAnsi="Arial Narrow"/>
          <w:noProof/>
        </w:rPr>
      </w:pPr>
    </w:p>
    <w:p w:rsidR="00584ADC" w:rsidRDefault="00584ADC" w:rsidP="00ED06BE">
      <w:pPr>
        <w:rPr>
          <w:rFonts w:ascii="Arial Narrow" w:hAnsi="Arial Narrow"/>
          <w:noProof/>
        </w:rPr>
      </w:pPr>
    </w:p>
    <w:p w:rsidR="00584ADC" w:rsidRDefault="00584ADC" w:rsidP="00ED06BE">
      <w:pPr>
        <w:rPr>
          <w:rFonts w:ascii="Arial Narrow" w:hAnsi="Arial Narrow"/>
          <w:noProof/>
        </w:rPr>
      </w:pPr>
    </w:p>
    <w:p w:rsidR="00584ADC" w:rsidRDefault="00584ADC" w:rsidP="00ED06BE">
      <w:pPr>
        <w:rPr>
          <w:rFonts w:ascii="Arial Narrow" w:hAnsi="Arial Narrow"/>
          <w:noProof/>
        </w:rPr>
      </w:pPr>
    </w:p>
    <w:p w:rsidR="00584ADC" w:rsidRPr="00EC5728" w:rsidRDefault="00584ADC" w:rsidP="00ED06BE">
      <w:pPr>
        <w:rPr>
          <w:rFonts w:ascii="Arial Narrow" w:hAnsi="Arial Narrow"/>
          <w:noProof/>
        </w:rPr>
      </w:pPr>
    </w:p>
    <w:p w:rsidR="00ED06BE" w:rsidRPr="00EC5728" w:rsidRDefault="00ED06BE" w:rsidP="00ED06BE">
      <w:pPr>
        <w:rPr>
          <w:rFonts w:ascii="Arial Narrow" w:hAnsi="Arial Narrow"/>
          <w:noProof/>
        </w:rPr>
      </w:pPr>
      <w:r w:rsidRPr="00EC5728">
        <w:rPr>
          <w:rFonts w:ascii="Arial Narrow" w:hAnsi="Arial Narrow"/>
          <w:noProof/>
        </w:rPr>
        <w:t>A description of the statistics presented for this streamgage is available in the main body of the report at:</w:t>
      </w:r>
    </w:p>
    <w:p w:rsidR="00ED06BE" w:rsidRDefault="00ED595A" w:rsidP="00ED06BE">
      <w:pPr>
        <w:jc w:val="center"/>
        <w:rPr>
          <w:rFonts w:ascii="Arial Narrow" w:hAnsi="Arial Narrow"/>
          <w:noProof/>
        </w:rPr>
      </w:pPr>
      <w:hyperlink r:id="rId10" w:history="1">
        <w:r w:rsidRPr="004B3A2F">
          <w:rPr>
            <w:rStyle w:val="Hyperlink"/>
            <w:rFonts w:ascii="Arial Narrow" w:hAnsi="Arial Narrow"/>
            <w:noProof/>
          </w:rPr>
          <w:t>http://dx.doi.org/10.3133/ofr20151214</w:t>
        </w:r>
      </w:hyperlink>
      <w:bookmarkStart w:id="0" w:name="_GoBack"/>
      <w:bookmarkEnd w:id="0"/>
    </w:p>
    <w:p w:rsidR="00ED06BE" w:rsidRPr="00EC5728" w:rsidRDefault="00221CD0" w:rsidP="00ED06BE">
      <w:pPr>
        <w:rPr>
          <w:rFonts w:ascii="Arial Narrow" w:hAnsi="Arial Narrow"/>
          <w:noProof/>
        </w:rPr>
      </w:pPr>
      <w:r>
        <w:rPr>
          <w:rFonts w:ascii="Arial Narrow" w:hAnsi="Arial Narrow"/>
          <w:noProof/>
        </w:rPr>
        <w:t>A link</w:t>
      </w:r>
      <w:r w:rsidR="00ED06BE" w:rsidRPr="00EC5728">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7C3F51" w:rsidRPr="00124F66" w:rsidRDefault="007C3F51" w:rsidP="004B4EBA">
      <w:pPr>
        <w:jc w:val="center"/>
        <w:rPr>
          <w:rFonts w:ascii="Arial Narrow" w:hAnsi="Arial Narrow"/>
          <w:color w:val="0000FF" w:themeColor="hyperlink"/>
          <w:u w:val="single"/>
        </w:rPr>
      </w:pPr>
    </w:p>
    <w:p w:rsidR="000B2745" w:rsidRPr="00167A5E" w:rsidRDefault="0014217F" w:rsidP="00677C75">
      <w:pPr>
        <w:jc w:val="center"/>
        <w:rPr>
          <w:b/>
        </w:rPr>
      </w:pPr>
      <w:r>
        <w:rPr>
          <w:b/>
          <w:noProof/>
        </w:rPr>
        <w:drawing>
          <wp:inline distT="0" distB="0" distL="0" distR="0">
            <wp:extent cx="5943600" cy="562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91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927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C43EBB" w:rsidRDefault="0014785B"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5590858</wp:posOffset>
                </wp:positionV>
                <wp:extent cx="214313" cy="147637"/>
                <wp:effectExtent l="0" t="0" r="0" b="5080"/>
                <wp:wrapNone/>
                <wp:docPr id="2" name="Rectangle 2"/>
                <wp:cNvGraphicFramePr/>
                <a:graphic xmlns:a="http://schemas.openxmlformats.org/drawingml/2006/main">
                  <a:graphicData uri="http://schemas.microsoft.com/office/word/2010/wordprocessingShape">
                    <wps:wsp>
                      <wps:cNvSpPr/>
                      <wps:spPr>
                        <a:xfrm>
                          <a:off x="0" y="0"/>
                          <a:ext cx="214313" cy="1476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75pt;margin-top:440.25pt;width:16.9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" fillcolor="white [3212]" stroked="f" strokeweight="2pt"/>
            </w:pict>
          </mc:Fallback>
        </mc:AlternateContent>
      </w:r>
      <w:r w:rsidR="00C43EBB">
        <w:rPr>
          <w:b/>
          <w:noProof/>
        </w:rPr>
        <w:drawing>
          <wp:inline distT="0" distB="0" distL="0" distR="0">
            <wp:extent cx="5943600" cy="5838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91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81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584ADC" w:rsidRDefault="00584ADC" w:rsidP="00572EF1">
      <w:pPr>
        <w:jc w:val="center"/>
        <w:rPr>
          <w:noProof/>
          <w:sz w:val="24"/>
          <w:szCs w:val="24"/>
        </w:rPr>
      </w:pPr>
    </w:p>
    <w:p w:rsidR="00C43EBB" w:rsidRPr="00635780" w:rsidRDefault="00C43EBB" w:rsidP="00572EF1">
      <w:pPr>
        <w:jc w:val="center"/>
        <w:rPr>
          <w:sz w:val="24"/>
          <w:szCs w:val="24"/>
        </w:rPr>
      </w:pPr>
      <w:r>
        <w:rPr>
          <w:noProof/>
          <w:sz w:val="24"/>
          <w:szCs w:val="24"/>
        </w:rPr>
        <w:drawing>
          <wp:inline distT="0" distB="0" distL="0" distR="0">
            <wp:extent cx="5943600" cy="5866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91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661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959"/>
        <w:gridCol w:w="825"/>
        <w:gridCol w:w="653"/>
        <w:gridCol w:w="653"/>
        <w:gridCol w:w="653"/>
        <w:gridCol w:w="653"/>
        <w:gridCol w:w="825"/>
        <w:gridCol w:w="825"/>
        <w:gridCol w:w="825"/>
        <w:gridCol w:w="825"/>
        <w:gridCol w:w="825"/>
        <w:gridCol w:w="653"/>
        <w:gridCol w:w="825"/>
        <w:gridCol w:w="1023"/>
        <w:gridCol w:w="846"/>
        <w:gridCol w:w="820"/>
      </w:tblGrid>
      <w:tr w:rsidR="00C43EBB" w:rsidRPr="00C43EBB" w:rsidTr="00C43EBB">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05491000 Monthly and annual flow durations, based on 1923–31, 1959–73 period of record (24 years)</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sz w:val="20"/>
                <w:szCs w:val="20"/>
              </w:rPr>
            </w:pPr>
          </w:p>
        </w:tc>
      </w:tr>
      <w:tr w:rsidR="00C43EBB" w:rsidRPr="00C43EBB" w:rsidTr="00C43EBB">
        <w:trPr>
          <w:trHeight w:val="600"/>
          <w:jc w:val="center"/>
        </w:trPr>
        <w:tc>
          <w:tcPr>
            <w:tcW w:w="1959" w:type="dxa"/>
            <w:vMerge w:val="restart"/>
            <w:tcBorders>
              <w:top w:val="nil"/>
              <w:left w:val="nil"/>
              <w:bottom w:val="single" w:sz="4" w:space="0" w:color="000000"/>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Percentage of days discharge equaled or exceeded</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 </w:t>
            </w:r>
          </w:p>
        </w:tc>
        <w:tc>
          <w:tcPr>
            <w:tcW w:w="653"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 </w:t>
            </w:r>
          </w:p>
        </w:tc>
        <w:tc>
          <w:tcPr>
            <w:tcW w:w="653"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 </w:t>
            </w:r>
          </w:p>
        </w:tc>
        <w:tc>
          <w:tcPr>
            <w:tcW w:w="653"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 </w:t>
            </w:r>
          </w:p>
        </w:tc>
        <w:tc>
          <w:tcPr>
            <w:tcW w:w="3953" w:type="dxa"/>
            <w:gridSpan w:val="5"/>
            <w:tcBorders>
              <w:top w:val="single" w:sz="4" w:space="0" w:color="auto"/>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Discharge (cubic feet per second)</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 </w:t>
            </w:r>
          </w:p>
        </w:tc>
        <w:tc>
          <w:tcPr>
            <w:tcW w:w="653"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 </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 </w:t>
            </w:r>
          </w:p>
        </w:tc>
        <w:tc>
          <w:tcPr>
            <w:tcW w:w="1023"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Annual flow durations</w:t>
            </w:r>
          </w:p>
        </w:tc>
      </w:tr>
      <w:tr w:rsidR="00C43EBB" w:rsidRPr="00C43EBB" w:rsidTr="00C43EBB">
        <w:trPr>
          <w:trHeight w:val="600"/>
          <w:jc w:val="center"/>
        </w:trPr>
        <w:tc>
          <w:tcPr>
            <w:tcW w:w="1959" w:type="dxa"/>
            <w:vMerge/>
            <w:tcBorders>
              <w:top w:val="nil"/>
              <w:left w:val="nil"/>
              <w:bottom w:val="single" w:sz="4" w:space="0" w:color="000000"/>
              <w:right w:val="nil"/>
            </w:tcBorders>
            <w:vAlign w:val="center"/>
            <w:hideMark/>
          </w:tcPr>
          <w:p w:rsidR="00C43EBB" w:rsidRPr="00C43EBB" w:rsidRDefault="00C43EBB" w:rsidP="00C43EBB">
            <w:pPr>
              <w:spacing w:after="0" w:line="240" w:lineRule="auto"/>
              <w:rPr>
                <w:rFonts w:ascii="Calibri" w:eastAsia="Times New Roman" w:hAnsi="Calibri" w:cs="Times New Roman"/>
                <w:color w:val="000000"/>
                <w:sz w:val="20"/>
                <w:szCs w:val="20"/>
              </w:rPr>
            </w:pPr>
          </w:p>
        </w:tc>
        <w:tc>
          <w:tcPr>
            <w:tcW w:w="825"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Oct</w:t>
            </w:r>
          </w:p>
        </w:tc>
        <w:tc>
          <w:tcPr>
            <w:tcW w:w="653"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Nov</w:t>
            </w:r>
          </w:p>
        </w:tc>
        <w:tc>
          <w:tcPr>
            <w:tcW w:w="653"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Dec</w:t>
            </w:r>
          </w:p>
        </w:tc>
        <w:tc>
          <w:tcPr>
            <w:tcW w:w="653"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Jan</w:t>
            </w:r>
          </w:p>
        </w:tc>
        <w:tc>
          <w:tcPr>
            <w:tcW w:w="653"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Feb</w:t>
            </w:r>
          </w:p>
        </w:tc>
        <w:tc>
          <w:tcPr>
            <w:tcW w:w="825"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Mar</w:t>
            </w:r>
          </w:p>
        </w:tc>
        <w:tc>
          <w:tcPr>
            <w:tcW w:w="825"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Apr</w:t>
            </w:r>
          </w:p>
        </w:tc>
        <w:tc>
          <w:tcPr>
            <w:tcW w:w="825"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May</w:t>
            </w:r>
          </w:p>
        </w:tc>
        <w:tc>
          <w:tcPr>
            <w:tcW w:w="825"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June</w:t>
            </w:r>
          </w:p>
        </w:tc>
        <w:tc>
          <w:tcPr>
            <w:tcW w:w="825"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July</w:t>
            </w:r>
          </w:p>
        </w:tc>
        <w:tc>
          <w:tcPr>
            <w:tcW w:w="653"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Aug</w:t>
            </w:r>
          </w:p>
        </w:tc>
        <w:tc>
          <w:tcPr>
            <w:tcW w:w="825" w:type="dxa"/>
            <w:tcBorders>
              <w:top w:val="nil"/>
              <w:left w:val="nil"/>
              <w:bottom w:val="single" w:sz="4" w:space="0" w:color="auto"/>
              <w:right w:val="nil"/>
            </w:tcBorders>
            <w:shd w:val="clear" w:color="000000" w:fill="FFFFFF"/>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Sept</w:t>
            </w:r>
          </w:p>
        </w:tc>
        <w:tc>
          <w:tcPr>
            <w:tcW w:w="1023"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P-value</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99</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0.60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102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0.090</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98</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4.8</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1.7</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0.70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102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0.322</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95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7.2</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3.4</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0.40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102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0.742</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90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0.10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1.5</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2.2</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1.2</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0.40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102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0.404</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85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0.20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0.40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0.50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12</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7.9</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1.7</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102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0.60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0.957</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80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0.60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0.70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0.92</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6.4</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14</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4.8</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2.7</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1.4</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0.740</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0.07</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0.80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1.1</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1.2</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8.8</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16</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14</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6.1</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4.2</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1.9</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0.30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0.047</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0.763</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0.70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1.8</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2.3</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11</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19</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18</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5.4</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2.4</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0.70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0.20</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0.881</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1.3</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2.5</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13</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24</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21</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9.4</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6.7</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3.2</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0.50</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0.901</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1.6</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2.3</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3.3</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16</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25</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11</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8.4</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0.90</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0.980</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2.6</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4.2</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4.1</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7.2</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33</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13</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11</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5.1</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1.9</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1.6</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0.862</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3.7</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6.2</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25</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37</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34</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15</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7.2</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2.4</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0.862</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45</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6.4</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8.9</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7.4</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42</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42</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17</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21</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10</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3.4</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3.8</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0.980</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40</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9.5</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11</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9.0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11</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47</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49</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22</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27</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15</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4.6</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5.6</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-0.004</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1.000</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35</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13</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14</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13</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58</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60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26</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36</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19</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5.9</w:t>
            </w:r>
          </w:p>
        </w:tc>
        <w:tc>
          <w:tcPr>
            <w:tcW w:w="82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8.7</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1.000</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17</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16</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12</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16</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62</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72</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73</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33</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49</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26</w:t>
            </w:r>
          </w:p>
        </w:tc>
        <w:tc>
          <w:tcPr>
            <w:tcW w:w="65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8.0</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13</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0.901</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25</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22</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19</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14</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75</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90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97</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39</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58</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32</w:t>
            </w:r>
          </w:p>
        </w:tc>
        <w:tc>
          <w:tcPr>
            <w:tcW w:w="653"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11</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18</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0.785</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35</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27</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19</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100</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120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128</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50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72</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37</w:t>
            </w:r>
          </w:p>
        </w:tc>
        <w:tc>
          <w:tcPr>
            <w:tcW w:w="653"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14</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27</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0.804</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15</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56</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42</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32</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140</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173</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191</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76</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106</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49</w:t>
            </w:r>
          </w:p>
        </w:tc>
        <w:tc>
          <w:tcPr>
            <w:tcW w:w="653"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19</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50</w:t>
            </w:r>
          </w:p>
        </w:tc>
        <w:tc>
          <w:tcPr>
            <w:tcW w:w="1023"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0.116</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0.442</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104</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63</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66</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204</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275</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309</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125</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180</w:t>
            </w:r>
          </w:p>
        </w:tc>
        <w:tc>
          <w:tcPr>
            <w:tcW w:w="825" w:type="dxa"/>
            <w:tcBorders>
              <w:top w:val="nil"/>
              <w:left w:val="nil"/>
              <w:bottom w:val="nil"/>
              <w:right w:val="nil"/>
            </w:tcBorders>
            <w:shd w:val="clear" w:color="auto" w:fill="auto"/>
            <w:noWrap/>
            <w:vAlign w:val="bottom"/>
            <w:hideMark/>
          </w:tcPr>
          <w:p w:rsidR="00C43EBB" w:rsidRPr="00C43EBB" w:rsidRDefault="006D6B19" w:rsidP="006D6B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84</w:t>
            </w:r>
          </w:p>
        </w:tc>
        <w:tc>
          <w:tcPr>
            <w:tcW w:w="653"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32</w:t>
            </w:r>
          </w:p>
        </w:tc>
        <w:tc>
          <w:tcPr>
            <w:tcW w:w="825"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120</w:t>
            </w:r>
          </w:p>
        </w:tc>
        <w:tc>
          <w:tcPr>
            <w:tcW w:w="1023"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129</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0.197</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7C3F51" w:rsidP="00C43E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5</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267</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190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117</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107</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350</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430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646</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297</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487</w:t>
            </w:r>
          </w:p>
        </w:tc>
        <w:tc>
          <w:tcPr>
            <w:tcW w:w="825"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226</w:t>
            </w:r>
          </w:p>
        </w:tc>
        <w:tc>
          <w:tcPr>
            <w:tcW w:w="653"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100</w:t>
            </w:r>
          </w:p>
        </w:tc>
        <w:tc>
          <w:tcPr>
            <w:tcW w:w="825"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487</w:t>
            </w:r>
          </w:p>
        </w:tc>
        <w:tc>
          <w:tcPr>
            <w:tcW w:w="1023"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0.217</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0.143</w:t>
            </w:r>
          </w:p>
        </w:tc>
      </w:tr>
      <w:tr w:rsidR="00C43EBB" w:rsidRPr="00C43EBB" w:rsidTr="00C43EBB">
        <w:trPr>
          <w:trHeight w:val="300"/>
          <w:jc w:val="center"/>
        </w:trPr>
        <w:tc>
          <w:tcPr>
            <w:tcW w:w="1959" w:type="dxa"/>
            <w:tcBorders>
              <w:top w:val="nil"/>
              <w:left w:val="nil"/>
              <w:bottom w:val="nil"/>
              <w:right w:val="nil"/>
            </w:tcBorders>
            <w:shd w:val="clear" w:color="auto" w:fill="auto"/>
            <w:noWrap/>
            <w:vAlign w:val="bottom"/>
            <w:hideMark/>
          </w:tcPr>
          <w:p w:rsidR="00C43EBB" w:rsidRPr="00C43EBB" w:rsidRDefault="007C3F51" w:rsidP="00C43E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2</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820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582</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202</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210</w:t>
            </w:r>
          </w:p>
        </w:tc>
        <w:tc>
          <w:tcPr>
            <w:tcW w:w="653"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500</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966</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1,470</w:t>
            </w:r>
          </w:p>
        </w:tc>
        <w:tc>
          <w:tcPr>
            <w:tcW w:w="825" w:type="dxa"/>
            <w:tcBorders>
              <w:top w:val="nil"/>
              <w:left w:val="nil"/>
              <w:bottom w:val="nil"/>
              <w:right w:val="nil"/>
            </w:tcBorders>
            <w:shd w:val="clear" w:color="auto" w:fill="auto"/>
            <w:noWrap/>
            <w:vAlign w:val="bottom"/>
            <w:hideMark/>
          </w:tcPr>
          <w:p w:rsidR="00C43EBB" w:rsidRPr="00C43EBB" w:rsidRDefault="007C3F51" w:rsidP="007C3F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753</w:t>
            </w:r>
          </w:p>
        </w:tc>
        <w:tc>
          <w:tcPr>
            <w:tcW w:w="825" w:type="dxa"/>
            <w:tcBorders>
              <w:top w:val="nil"/>
              <w:left w:val="nil"/>
              <w:bottom w:val="nil"/>
              <w:right w:val="nil"/>
            </w:tcBorders>
            <w:shd w:val="clear" w:color="auto" w:fill="auto"/>
            <w:noWrap/>
            <w:vAlign w:val="bottom"/>
            <w:hideMark/>
          </w:tcPr>
          <w:p w:rsidR="00C43EBB" w:rsidRPr="00C43EBB" w:rsidRDefault="00C43EBB" w:rsidP="007C3F51">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820</w:t>
            </w:r>
          </w:p>
        </w:tc>
        <w:tc>
          <w:tcPr>
            <w:tcW w:w="825"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711</w:t>
            </w:r>
          </w:p>
        </w:tc>
        <w:tc>
          <w:tcPr>
            <w:tcW w:w="653"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506</w:t>
            </w:r>
          </w:p>
        </w:tc>
        <w:tc>
          <w:tcPr>
            <w:tcW w:w="825"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1,150</w:t>
            </w:r>
          </w:p>
        </w:tc>
        <w:tc>
          <w:tcPr>
            <w:tcW w:w="1023" w:type="dxa"/>
            <w:tcBorders>
              <w:top w:val="nil"/>
              <w:left w:val="nil"/>
              <w:bottom w:val="nil"/>
              <w:right w:val="nil"/>
            </w:tcBorders>
            <w:shd w:val="clear" w:color="auto" w:fill="auto"/>
            <w:noWrap/>
            <w:vAlign w:val="bottom"/>
            <w:hideMark/>
          </w:tcPr>
          <w:p w:rsidR="00C43EBB" w:rsidRPr="00C43EBB" w:rsidRDefault="00C43EBB" w:rsidP="006D6B19">
            <w:pPr>
              <w:spacing w:after="0" w:line="240" w:lineRule="auto"/>
              <w:jc w:val="center"/>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717</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0.413</w:t>
            </w:r>
          </w:p>
        </w:tc>
      </w:tr>
      <w:tr w:rsidR="00C43EBB" w:rsidRPr="00C43EBB" w:rsidTr="00C43EBB">
        <w:trPr>
          <w:trHeight w:val="300"/>
          <w:jc w:val="center"/>
        </w:trPr>
        <w:tc>
          <w:tcPr>
            <w:tcW w:w="1959" w:type="dxa"/>
            <w:tcBorders>
              <w:top w:val="nil"/>
              <w:left w:val="nil"/>
              <w:bottom w:val="single" w:sz="4" w:space="0" w:color="auto"/>
              <w:right w:val="nil"/>
            </w:tcBorders>
            <w:shd w:val="clear" w:color="auto" w:fill="auto"/>
            <w:noWrap/>
            <w:vAlign w:val="bottom"/>
            <w:hideMark/>
          </w:tcPr>
          <w:p w:rsidR="00C43EBB" w:rsidRPr="00C43EBB" w:rsidRDefault="007C3F51" w:rsidP="00C43EB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1,370</w:t>
            </w:r>
          </w:p>
        </w:tc>
        <w:tc>
          <w:tcPr>
            <w:tcW w:w="653" w:type="dxa"/>
            <w:tcBorders>
              <w:top w:val="nil"/>
              <w:left w:val="nil"/>
              <w:bottom w:val="single" w:sz="4" w:space="0" w:color="auto"/>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582</w:t>
            </w:r>
          </w:p>
        </w:tc>
        <w:tc>
          <w:tcPr>
            <w:tcW w:w="653" w:type="dxa"/>
            <w:tcBorders>
              <w:top w:val="nil"/>
              <w:left w:val="nil"/>
              <w:bottom w:val="single" w:sz="4" w:space="0" w:color="auto"/>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400</w:t>
            </w:r>
          </w:p>
        </w:tc>
        <w:tc>
          <w:tcPr>
            <w:tcW w:w="653" w:type="dxa"/>
            <w:tcBorders>
              <w:top w:val="nil"/>
              <w:left w:val="nil"/>
              <w:bottom w:val="single" w:sz="4" w:space="0" w:color="auto"/>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450</w:t>
            </w:r>
          </w:p>
        </w:tc>
        <w:tc>
          <w:tcPr>
            <w:tcW w:w="653" w:type="dxa"/>
            <w:tcBorders>
              <w:top w:val="nil"/>
              <w:left w:val="nil"/>
              <w:bottom w:val="single" w:sz="4" w:space="0" w:color="auto"/>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600</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1,400</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1,890</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1,060</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7C3F51">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1,320</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6D6B19">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1,490</w:t>
            </w:r>
          </w:p>
        </w:tc>
        <w:tc>
          <w:tcPr>
            <w:tcW w:w="653" w:type="dxa"/>
            <w:tcBorders>
              <w:top w:val="nil"/>
              <w:left w:val="nil"/>
              <w:bottom w:val="single" w:sz="4" w:space="0" w:color="auto"/>
              <w:right w:val="nil"/>
            </w:tcBorders>
            <w:shd w:val="clear" w:color="auto" w:fill="auto"/>
            <w:noWrap/>
            <w:vAlign w:val="bottom"/>
            <w:hideMark/>
          </w:tcPr>
          <w:p w:rsidR="00C43EBB" w:rsidRPr="00C43EBB" w:rsidRDefault="00C43EBB" w:rsidP="006D6B19">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923</w:t>
            </w:r>
          </w:p>
        </w:tc>
        <w:tc>
          <w:tcPr>
            <w:tcW w:w="825" w:type="dxa"/>
            <w:tcBorders>
              <w:top w:val="nil"/>
              <w:left w:val="nil"/>
              <w:bottom w:val="single" w:sz="4" w:space="0" w:color="auto"/>
              <w:right w:val="nil"/>
            </w:tcBorders>
            <w:shd w:val="clear" w:color="auto" w:fill="auto"/>
            <w:noWrap/>
            <w:vAlign w:val="bottom"/>
            <w:hideMark/>
          </w:tcPr>
          <w:p w:rsidR="00C43EBB" w:rsidRPr="00C43EBB" w:rsidRDefault="00C43EBB" w:rsidP="006D6B19">
            <w:pPr>
              <w:spacing w:after="0" w:line="240" w:lineRule="auto"/>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2,060</w:t>
            </w:r>
          </w:p>
        </w:tc>
        <w:tc>
          <w:tcPr>
            <w:tcW w:w="1023" w:type="dxa"/>
            <w:tcBorders>
              <w:top w:val="nil"/>
              <w:left w:val="nil"/>
              <w:bottom w:val="single" w:sz="4" w:space="0" w:color="auto"/>
              <w:right w:val="nil"/>
            </w:tcBorders>
            <w:shd w:val="clear" w:color="auto" w:fill="auto"/>
            <w:noWrap/>
            <w:vAlign w:val="bottom"/>
            <w:hideMark/>
          </w:tcPr>
          <w:p w:rsidR="00C43EBB" w:rsidRPr="00C43EBB" w:rsidRDefault="006D6B19" w:rsidP="006D6B1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3EBB" w:rsidRPr="00C43EBB">
              <w:rPr>
                <w:rFonts w:ascii="Calibri" w:eastAsia="Times New Roman" w:hAnsi="Calibri" w:cs="Times New Roman"/>
                <w:color w:val="000000"/>
                <w:sz w:val="20"/>
                <w:szCs w:val="20"/>
              </w:rPr>
              <w:t>1,180</w:t>
            </w:r>
          </w:p>
        </w:tc>
        <w:tc>
          <w:tcPr>
            <w:tcW w:w="82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0.022</w:t>
            </w:r>
          </w:p>
        </w:tc>
        <w:tc>
          <w:tcPr>
            <w:tcW w:w="82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sz w:val="20"/>
                <w:szCs w:val="20"/>
              </w:rPr>
            </w:pPr>
            <w:r w:rsidRPr="00C43EBB">
              <w:rPr>
                <w:rFonts w:ascii="Calibri" w:eastAsia="Times New Roman" w:hAnsi="Calibri" w:cs="Times New Roman"/>
                <w:color w:val="000000"/>
                <w:sz w:val="20"/>
                <w:szCs w:val="20"/>
              </w:rPr>
              <w:t>0.901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43EBB" w:rsidRPr="00C43EBB" w:rsidTr="00C43EBB">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05491000 Annual exceedance probability of instantaneous peak discharge</w:t>
            </w:r>
            <w:r w:rsidR="00C64069">
              <w:rPr>
                <w:rFonts w:ascii="Calibri" w:eastAsia="Times New Roman" w:hAnsi="Calibri" w:cs="Times New Roman"/>
                <w:color w:val="000000"/>
              </w:rPr>
              <w:t>s, in cubic feet per second (ft</w:t>
            </w:r>
            <w:r w:rsidR="00C64069">
              <w:rPr>
                <w:rFonts w:ascii="Calibri" w:eastAsia="Times New Roman" w:hAnsi="Calibri" w:cs="Times New Roman"/>
                <w:color w:val="000000"/>
                <w:vertAlign w:val="superscript"/>
              </w:rPr>
              <w:t>3</w:t>
            </w:r>
            <w:r w:rsidR="00C64069">
              <w:rPr>
                <w:rFonts w:ascii="Calibri" w:eastAsia="Times New Roman" w:hAnsi="Calibri" w:cs="Times New Roman"/>
                <w:color w:val="000000"/>
              </w:rPr>
              <w:t>/s</w:t>
            </w:r>
            <w:r w:rsidRPr="00C43EBB">
              <w:rPr>
                <w:rFonts w:ascii="Calibri" w:eastAsia="Times New Roman" w:hAnsi="Calibri" w:cs="Times New Roman"/>
                <w:color w:val="000000"/>
              </w:rPr>
              <w:t>), based on the Weighted Independent Estimates method,</w:t>
            </w:r>
          </w:p>
        </w:tc>
      </w:tr>
      <w:tr w:rsidR="00C43EBB" w:rsidRPr="00C43EBB" w:rsidTr="00C43EBB">
        <w:trPr>
          <w:trHeight w:val="2100"/>
          <w:jc w:val="center"/>
        </w:trPr>
        <w:tc>
          <w:tcPr>
            <w:tcW w:w="1160"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43EBB" w:rsidRPr="00C43EBB" w:rsidRDefault="00C64069" w:rsidP="00C43E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43EBB" w:rsidRPr="00C43EB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95-percent</w:t>
            </w:r>
            <w:r w:rsidR="00C64069">
              <w:rPr>
                <w:rFonts w:ascii="Calibri" w:eastAsia="Times New Roman" w:hAnsi="Calibri" w:cs="Times New Roman"/>
                <w:color w:val="000000"/>
              </w:rPr>
              <w:t xml:space="preserve"> lower confi-dence interval (ft</w:t>
            </w:r>
            <w:r w:rsidR="00C64069">
              <w:rPr>
                <w:rFonts w:ascii="Calibri" w:eastAsia="Times New Roman" w:hAnsi="Calibri" w:cs="Times New Roman"/>
                <w:color w:val="000000"/>
                <w:vertAlign w:val="superscript"/>
              </w:rPr>
              <w:t>3</w:t>
            </w:r>
            <w:r w:rsidR="00C64069">
              <w:rPr>
                <w:rFonts w:ascii="Calibri" w:eastAsia="Times New Roman" w:hAnsi="Calibri" w:cs="Times New Roman"/>
                <w:color w:val="000000"/>
              </w:rPr>
              <w:t>/s</w:t>
            </w:r>
            <w:r w:rsidRPr="00C43EBB">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95-percent</w:t>
            </w:r>
            <w:r w:rsidR="00C64069">
              <w:rPr>
                <w:rFonts w:ascii="Calibri" w:eastAsia="Times New Roman" w:hAnsi="Calibri" w:cs="Times New Roman"/>
                <w:color w:val="000000"/>
              </w:rPr>
              <w:t xml:space="preserve"> upper confi-dence interval (ft</w:t>
            </w:r>
            <w:r w:rsidR="00C64069">
              <w:rPr>
                <w:rFonts w:ascii="Calibri" w:eastAsia="Times New Roman" w:hAnsi="Calibri" w:cs="Times New Roman"/>
                <w:color w:val="000000"/>
                <w:vertAlign w:val="superscript"/>
              </w:rPr>
              <w:t>3</w:t>
            </w:r>
            <w:r w:rsidR="00C64069">
              <w:rPr>
                <w:rFonts w:ascii="Calibri" w:eastAsia="Times New Roman" w:hAnsi="Calibri" w:cs="Times New Roman"/>
                <w:color w:val="000000"/>
              </w:rPr>
              <w:t>/s</w:t>
            </w:r>
            <w:r w:rsidRPr="00C43EBB">
              <w:rPr>
                <w:rFonts w:ascii="Calibri" w:eastAsia="Times New Roman" w:hAnsi="Calibri" w:cs="Times New Roman"/>
                <w:color w:val="000000"/>
              </w:rPr>
              <w:t>)</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3,360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2,870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3,920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6,190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5,280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7,260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8,330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6,980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9,930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11,400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9,210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14,100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13,800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10,800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17,600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16,300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12,300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21,600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18,900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13,800</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25,900</w:t>
            </w:r>
          </w:p>
        </w:tc>
      </w:tr>
      <w:tr w:rsidR="00C43EBB" w:rsidRPr="00C43EBB" w:rsidTr="00C43EBB">
        <w:trPr>
          <w:trHeight w:val="300"/>
          <w:jc w:val="center"/>
        </w:trPr>
        <w:tc>
          <w:tcPr>
            <w:tcW w:w="11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22,400</w:t>
            </w:r>
          </w:p>
        </w:tc>
        <w:tc>
          <w:tcPr>
            <w:tcW w:w="10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15,500</w:t>
            </w:r>
          </w:p>
        </w:tc>
        <w:tc>
          <w:tcPr>
            <w:tcW w:w="10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32,300</w:t>
            </w:r>
          </w:p>
        </w:tc>
      </w:tr>
      <w:tr w:rsidR="00C43EBB" w:rsidRPr="00C43EBB" w:rsidTr="00C43EBB">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and based on the expected moments algorithm/multiple Grubbs-Beck analysis computed using a historical period length of 94 years (1899–1992)</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3,360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2,390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4,640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6,180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4,490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8,920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8,370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5,940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12,700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11,400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7,720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18,700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13,900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8,960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24,300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10,100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31,100</w:t>
            </w:r>
          </w:p>
        </w:tc>
      </w:tr>
      <w:tr w:rsidR="00C43EBB" w:rsidRPr="00C43EBB" w:rsidTr="00C43EBB">
        <w:trPr>
          <w:trHeight w:val="300"/>
          <w:jc w:val="center"/>
        </w:trPr>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19,300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11,200</w:t>
            </w:r>
          </w:p>
        </w:tc>
        <w:tc>
          <w:tcPr>
            <w:tcW w:w="1060"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39,200</w:t>
            </w:r>
          </w:p>
        </w:tc>
      </w:tr>
      <w:tr w:rsidR="00C43EBB" w:rsidRPr="00C43EBB" w:rsidTr="00C43EBB">
        <w:trPr>
          <w:trHeight w:val="300"/>
          <w:jc w:val="center"/>
        </w:trPr>
        <w:tc>
          <w:tcPr>
            <w:tcW w:w="11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23,200</w:t>
            </w:r>
          </w:p>
        </w:tc>
        <w:tc>
          <w:tcPr>
            <w:tcW w:w="1060"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12,500</w:t>
            </w:r>
          </w:p>
        </w:tc>
        <w:tc>
          <w:tcPr>
            <w:tcW w:w="1060"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52,400</w:t>
            </w:r>
          </w:p>
        </w:tc>
      </w:tr>
      <w:tr w:rsidR="00C43EBB" w:rsidRPr="00C43EBB" w:rsidTr="00C43EBB">
        <w:trPr>
          <w:trHeight w:val="300"/>
          <w:jc w:val="center"/>
        </w:trPr>
        <w:tc>
          <w:tcPr>
            <w:tcW w:w="2320" w:type="dxa"/>
            <w:gridSpan w:val="2"/>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0.024</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r>
      <w:tr w:rsidR="00C43EBB" w:rsidRPr="00C43EBB" w:rsidTr="00C43EBB">
        <w:trPr>
          <w:trHeight w:val="300"/>
          <w:jc w:val="center"/>
        </w:trPr>
        <w:tc>
          <w:tcPr>
            <w:tcW w:w="2320" w:type="dxa"/>
            <w:gridSpan w:val="2"/>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0.895</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r>
      <w:tr w:rsidR="00C43EBB" w:rsidRPr="00C43EBB" w:rsidTr="00C43EBB">
        <w:trPr>
          <w:trHeight w:val="300"/>
          <w:jc w:val="center"/>
        </w:trPr>
        <w:tc>
          <w:tcPr>
            <w:tcW w:w="2320" w:type="dxa"/>
            <w:gridSpan w:val="2"/>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1923</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r>
      <w:tr w:rsidR="00C43EBB" w:rsidRPr="00C43EBB" w:rsidTr="00C43EBB">
        <w:trPr>
          <w:trHeight w:val="300"/>
          <w:jc w:val="center"/>
        </w:trPr>
        <w:tc>
          <w:tcPr>
            <w:tcW w:w="2320" w:type="dxa"/>
            <w:gridSpan w:val="2"/>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1973</w:t>
            </w: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r>
      <w:tr w:rsidR="00C43EBB" w:rsidRPr="00C43EBB" w:rsidTr="00C43EBB">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23</w:t>
            </w:r>
          </w:p>
        </w:tc>
        <w:tc>
          <w:tcPr>
            <w:tcW w:w="10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C43EBB" w:rsidRPr="00C43EBB" w:rsidTr="00C43EBB">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05491000 Annual exceedance probability of high discharges, based on 1923-31, 1959</w:t>
            </w:r>
            <w:r>
              <w:rPr>
                <w:rFonts w:ascii="Calibri" w:eastAsia="Times New Roman" w:hAnsi="Calibri" w:cs="Times New Roman"/>
                <w:color w:val="000000"/>
              </w:rPr>
              <w:t>–</w:t>
            </w:r>
            <w:r w:rsidRPr="00C43EBB">
              <w:rPr>
                <w:rFonts w:ascii="Calibri" w:eastAsia="Times New Roman" w:hAnsi="Calibri" w:cs="Times New Roman"/>
                <w:color w:val="000000"/>
              </w:rPr>
              <w:t>73 period of record (24 years)</w:t>
            </w:r>
          </w:p>
        </w:tc>
      </w:tr>
      <w:tr w:rsidR="00C43EBB" w:rsidRPr="00C43EBB" w:rsidTr="00C43EBB">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43EBB">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Maximum average discharge (ft</w:t>
            </w:r>
            <w:r w:rsidRPr="00C43EBB">
              <w:rPr>
                <w:rFonts w:ascii="Calibri" w:eastAsia="Times New Roman" w:hAnsi="Calibri" w:cs="Times New Roman"/>
                <w:color w:val="000000"/>
                <w:vertAlign w:val="superscript"/>
              </w:rPr>
              <w:t>3</w:t>
            </w:r>
            <w:r w:rsidRPr="00C43EBB">
              <w:rPr>
                <w:rFonts w:ascii="Calibri" w:eastAsia="Times New Roman" w:hAnsi="Calibri" w:cs="Times New Roman"/>
                <w:color w:val="000000"/>
              </w:rPr>
              <w:t>/s) for indicated number of consecutive days</w:t>
            </w:r>
          </w:p>
        </w:tc>
      </w:tr>
      <w:tr w:rsidR="00C43EBB" w:rsidRPr="00C43EBB" w:rsidTr="00C43EBB">
        <w:trPr>
          <w:trHeight w:val="495"/>
          <w:jc w:val="center"/>
        </w:trPr>
        <w:tc>
          <w:tcPr>
            <w:tcW w:w="1403" w:type="dxa"/>
            <w:vMerge/>
            <w:tcBorders>
              <w:top w:val="nil"/>
              <w:left w:val="nil"/>
              <w:bottom w:val="single" w:sz="4" w:space="0" w:color="000000"/>
              <w:right w:val="nil"/>
            </w:tcBorders>
            <w:vAlign w:val="center"/>
            <w:hideMark/>
          </w:tcPr>
          <w:p w:rsidR="00C43EBB" w:rsidRPr="00C43EBB" w:rsidRDefault="00C43EBB" w:rsidP="00C43EBB">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C43EBB" w:rsidRPr="00C43EBB" w:rsidRDefault="00C43EBB" w:rsidP="00C43EBB">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30</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263</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198</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126</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50</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556</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365</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219</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130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88</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790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492</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288</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172</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116</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1,160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691</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395</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237</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159</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ind w:firstLineChars="200" w:firstLine="440"/>
              <w:rPr>
                <w:rFonts w:ascii="Calibri" w:eastAsia="Times New Roman" w:hAnsi="Calibri" w:cs="Times New Roman"/>
                <w:color w:val="000000"/>
              </w:rPr>
            </w:pPr>
            <w:r w:rsidRPr="00C43EBB">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2,110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1,230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688</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419</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274</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ind w:firstLineChars="200" w:firstLine="440"/>
              <w:rPr>
                <w:rFonts w:ascii="Calibri" w:eastAsia="Times New Roman" w:hAnsi="Calibri" w:cs="Times New Roman"/>
                <w:color w:val="000000"/>
              </w:rPr>
            </w:pPr>
            <w:r w:rsidRPr="00C43EBB">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3,310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2,010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1,120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697</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439</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EBB" w:rsidRPr="00C43EBB">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3,960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2,520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1,410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890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546</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4,620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3,120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1,770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1,140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675</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5,010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3,540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2,030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1,320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767</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EBB" w:rsidRPr="00C43EBB">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5,330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3,930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2,280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1,500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853</w:t>
            </w:r>
          </w:p>
        </w:tc>
      </w:tr>
      <w:tr w:rsidR="00C43EBB" w:rsidRPr="00C43EBB" w:rsidTr="00C43EBB">
        <w:trPr>
          <w:trHeight w:val="300"/>
          <w:jc w:val="center"/>
        </w:trPr>
        <w:tc>
          <w:tcPr>
            <w:tcW w:w="140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EBB" w:rsidRPr="00C43EBB">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5,600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4,300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2,520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1,680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936</w:t>
            </w:r>
          </w:p>
        </w:tc>
      </w:tr>
      <w:tr w:rsidR="00C43EBB" w:rsidRPr="00C43EBB" w:rsidTr="00C43EBB">
        <w:trPr>
          <w:trHeight w:val="300"/>
          <w:jc w:val="center"/>
        </w:trPr>
        <w:tc>
          <w:tcPr>
            <w:tcW w:w="1403"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43EBB" w:rsidRPr="00C43EBB">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5,880</w:t>
            </w:r>
          </w:p>
        </w:tc>
        <w:tc>
          <w:tcPr>
            <w:tcW w:w="82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4,760</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2,830</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1,910</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1,040</w:t>
            </w:r>
          </w:p>
        </w:tc>
      </w:tr>
      <w:tr w:rsidR="00C43EBB" w:rsidRPr="00C43EBB" w:rsidTr="00C43EBB">
        <w:trPr>
          <w:trHeight w:val="300"/>
          <w:jc w:val="center"/>
        </w:trPr>
        <w:tc>
          <w:tcPr>
            <w:tcW w:w="2455" w:type="dxa"/>
            <w:gridSpan w:val="2"/>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C43EBB">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0.131</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0.144</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0.146</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0.146</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0.152</w:t>
            </w:r>
          </w:p>
        </w:tc>
      </w:tr>
      <w:tr w:rsidR="00C43EBB" w:rsidRPr="00C43EBB" w:rsidTr="00C43EBB">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0.143</w:t>
            </w:r>
          </w:p>
        </w:tc>
        <w:tc>
          <w:tcPr>
            <w:tcW w:w="82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0.107</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0.103</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0.103</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0.089</w:t>
            </w:r>
          </w:p>
        </w:tc>
      </w:tr>
    </w:tbl>
    <w:p w:rsidR="00290E10" w:rsidRDefault="00290E10" w:rsidP="00567261">
      <w:pPr>
        <w:jc w:val="center"/>
        <w:rPr>
          <w:sz w:val="24"/>
          <w:szCs w:val="24"/>
        </w:rPr>
      </w:pPr>
    </w:p>
    <w:tbl>
      <w:tblPr>
        <w:tblW w:w="10017" w:type="dxa"/>
        <w:jc w:val="center"/>
        <w:tblInd w:w="93" w:type="dxa"/>
        <w:tblLook w:val="04A0" w:firstRow="1" w:lastRow="0" w:firstColumn="1" w:lastColumn="0" w:noHBand="0" w:noVBand="1"/>
      </w:tblPr>
      <w:tblGrid>
        <w:gridCol w:w="1263"/>
        <w:gridCol w:w="1164"/>
        <w:gridCol w:w="1381"/>
        <w:gridCol w:w="828"/>
        <w:gridCol w:w="718"/>
        <w:gridCol w:w="718"/>
        <w:gridCol w:w="718"/>
        <w:gridCol w:w="804"/>
        <w:gridCol w:w="804"/>
        <w:gridCol w:w="804"/>
        <w:gridCol w:w="815"/>
      </w:tblGrid>
      <w:tr w:rsidR="00C43EBB" w:rsidRPr="00C43EBB" w:rsidTr="00C43EBB">
        <w:trPr>
          <w:trHeight w:val="600"/>
          <w:jc w:val="center"/>
        </w:trPr>
        <w:tc>
          <w:tcPr>
            <w:tcW w:w="1263"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 </w:t>
            </w:r>
          </w:p>
        </w:tc>
        <w:tc>
          <w:tcPr>
            <w:tcW w:w="7939" w:type="dxa"/>
            <w:gridSpan w:val="9"/>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05491000 Annual nonexceedance probability of low discharges, based on April 1922 to March 1931, April 1959 March 1973 period of record (23 years)</w:t>
            </w:r>
          </w:p>
        </w:tc>
        <w:tc>
          <w:tcPr>
            <w:tcW w:w="815"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 </w:t>
            </w:r>
          </w:p>
        </w:tc>
      </w:tr>
      <w:tr w:rsidR="00C43EBB" w:rsidRPr="00C43EBB" w:rsidTr="00C43EBB">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Annual nonexceed-ance probability</w:t>
            </w:r>
          </w:p>
        </w:tc>
        <w:tc>
          <w:tcPr>
            <w:tcW w:w="1164" w:type="dxa"/>
            <w:vMerge w:val="restart"/>
            <w:tcBorders>
              <w:top w:val="nil"/>
              <w:left w:val="nil"/>
              <w:bottom w:val="single" w:sz="4" w:space="0" w:color="000000"/>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Recur-rence interval (years)</w:t>
            </w:r>
          </w:p>
        </w:tc>
        <w:tc>
          <w:tcPr>
            <w:tcW w:w="7590" w:type="dxa"/>
            <w:gridSpan w:val="9"/>
            <w:tcBorders>
              <w:top w:val="single" w:sz="4" w:space="0" w:color="auto"/>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Minimum average discharge (cubic feet per second)                                                                                    for indicated number of consecutive days</w:t>
            </w:r>
          </w:p>
        </w:tc>
      </w:tr>
      <w:tr w:rsidR="00C43EBB" w:rsidRPr="00C43EBB" w:rsidTr="00C43EBB">
        <w:trPr>
          <w:trHeight w:val="495"/>
          <w:jc w:val="center"/>
        </w:trPr>
        <w:tc>
          <w:tcPr>
            <w:tcW w:w="1263" w:type="dxa"/>
            <w:vMerge/>
            <w:tcBorders>
              <w:top w:val="nil"/>
              <w:left w:val="nil"/>
              <w:bottom w:val="single" w:sz="4" w:space="0" w:color="000000"/>
              <w:right w:val="nil"/>
            </w:tcBorders>
            <w:vAlign w:val="center"/>
            <w:hideMark/>
          </w:tcPr>
          <w:p w:rsidR="00C43EBB" w:rsidRPr="00C43EBB" w:rsidRDefault="00C43EBB" w:rsidP="00C43EBB">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C43EBB" w:rsidRPr="00C43EBB" w:rsidRDefault="00C43EBB" w:rsidP="00C43EBB">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30</w:t>
            </w:r>
          </w:p>
        </w:tc>
        <w:tc>
          <w:tcPr>
            <w:tcW w:w="804"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60</w:t>
            </w:r>
          </w:p>
        </w:tc>
        <w:tc>
          <w:tcPr>
            <w:tcW w:w="804"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90</w:t>
            </w:r>
          </w:p>
        </w:tc>
        <w:tc>
          <w:tcPr>
            <w:tcW w:w="804"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120</w:t>
            </w:r>
          </w:p>
        </w:tc>
        <w:tc>
          <w:tcPr>
            <w:tcW w:w="81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183</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100</w:t>
            </w:r>
          </w:p>
        </w:tc>
        <w:tc>
          <w:tcPr>
            <w:tcW w:w="138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1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50</w:t>
            </w:r>
          </w:p>
        </w:tc>
        <w:tc>
          <w:tcPr>
            <w:tcW w:w="138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1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20</w:t>
            </w:r>
          </w:p>
        </w:tc>
        <w:tc>
          <w:tcPr>
            <w:tcW w:w="138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0.02</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0.15</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0.23</w:t>
            </w:r>
          </w:p>
        </w:tc>
        <w:tc>
          <w:tcPr>
            <w:tcW w:w="81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0.25</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10</w:t>
            </w:r>
          </w:p>
        </w:tc>
        <w:tc>
          <w:tcPr>
            <w:tcW w:w="138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0.12</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0.54</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1.1</w:t>
            </w:r>
          </w:p>
        </w:tc>
        <w:tc>
          <w:tcPr>
            <w:tcW w:w="815"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1.4</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w:t>
            </w:r>
          </w:p>
        </w:tc>
        <w:tc>
          <w:tcPr>
            <w:tcW w:w="138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0.39</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1.2</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2.6</w:t>
            </w:r>
          </w:p>
        </w:tc>
        <w:tc>
          <w:tcPr>
            <w:tcW w:w="815"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3.7</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w:t>
            </w:r>
          </w:p>
        </w:tc>
        <w:tc>
          <w:tcPr>
            <w:tcW w:w="138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0.46</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2.3</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4.5</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9.4</w:t>
            </w:r>
          </w:p>
        </w:tc>
        <w:tc>
          <w:tcPr>
            <w:tcW w:w="815"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15</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1.25</w:t>
            </w:r>
          </w:p>
        </w:tc>
        <w:tc>
          <w:tcPr>
            <w:tcW w:w="138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0.55</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0.73</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3.1</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8.8</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16</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26</w:t>
            </w:r>
          </w:p>
        </w:tc>
        <w:tc>
          <w:tcPr>
            <w:tcW w:w="815"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49</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1.11</w:t>
            </w:r>
          </w:p>
        </w:tc>
        <w:tc>
          <w:tcPr>
            <w:tcW w:w="138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0.86</w:t>
            </w:r>
          </w:p>
        </w:tc>
        <w:tc>
          <w:tcPr>
            <w:tcW w:w="828"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6.9</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16</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30</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42</w:t>
            </w:r>
          </w:p>
        </w:tc>
        <w:tc>
          <w:tcPr>
            <w:tcW w:w="815"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84</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1.04</w:t>
            </w:r>
          </w:p>
        </w:tc>
        <w:tc>
          <w:tcPr>
            <w:tcW w:w="1381"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rPr>
                <w:rFonts w:ascii="Calibri" w:eastAsia="Times New Roman" w:hAnsi="Calibri" w:cs="Times New Roman"/>
              </w:rPr>
            </w:pPr>
            <w:r w:rsidRPr="00C43EBB">
              <w:rPr>
                <w:rFonts w:ascii="Calibri" w:eastAsia="Times New Roman" w:hAnsi="Calibri" w:cs="Times New Roman"/>
              </w:rPr>
              <w:t>14</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30</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59</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70</w:t>
            </w:r>
          </w:p>
        </w:tc>
        <w:tc>
          <w:tcPr>
            <w:tcW w:w="815"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rPr>
                <w:rFonts w:ascii="Calibri" w:eastAsia="Times New Roman" w:hAnsi="Calibri" w:cs="Times New Roman"/>
              </w:rPr>
            </w:pPr>
            <w:r w:rsidRPr="00C43EBB">
              <w:rPr>
                <w:rFonts w:ascii="Calibri" w:eastAsia="Times New Roman" w:hAnsi="Calibri" w:cs="Times New Roman"/>
              </w:rPr>
              <w:t>141</w:t>
            </w:r>
          </w:p>
        </w:tc>
      </w:tr>
      <w:tr w:rsidR="00C43EBB" w:rsidRPr="00C43EBB" w:rsidTr="00C43EBB">
        <w:trPr>
          <w:trHeight w:val="300"/>
          <w:jc w:val="center"/>
        </w:trPr>
        <w:tc>
          <w:tcPr>
            <w:tcW w:w="1263"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1.02</w:t>
            </w:r>
          </w:p>
        </w:tc>
        <w:tc>
          <w:tcPr>
            <w:tcW w:w="1381"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rPr>
                <w:rFonts w:ascii="Calibri" w:eastAsia="Times New Roman" w:hAnsi="Calibri" w:cs="Times New Roman"/>
              </w:rPr>
            </w:pPr>
            <w:r w:rsidRPr="00C43EBB">
              <w:rPr>
                <w:rFonts w:ascii="Calibri" w:eastAsia="Times New Roman" w:hAnsi="Calibri" w:cs="Times New Roman"/>
              </w:rPr>
              <w:t>21</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43</w:t>
            </w:r>
          </w:p>
        </w:tc>
        <w:tc>
          <w:tcPr>
            <w:tcW w:w="804" w:type="dxa"/>
            <w:tcBorders>
              <w:top w:val="nil"/>
              <w:left w:val="nil"/>
              <w:bottom w:val="nil"/>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92</w:t>
            </w:r>
          </w:p>
        </w:tc>
        <w:tc>
          <w:tcPr>
            <w:tcW w:w="804"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rPr>
                <w:rFonts w:ascii="Calibri" w:eastAsia="Times New Roman" w:hAnsi="Calibri" w:cs="Times New Roman"/>
              </w:rPr>
            </w:pPr>
            <w:r w:rsidRPr="00C43EBB">
              <w:rPr>
                <w:rFonts w:ascii="Calibri" w:eastAsia="Times New Roman" w:hAnsi="Calibri" w:cs="Times New Roman"/>
              </w:rPr>
              <w:t>120</w:t>
            </w:r>
          </w:p>
        </w:tc>
        <w:tc>
          <w:tcPr>
            <w:tcW w:w="815" w:type="dxa"/>
            <w:tcBorders>
              <w:top w:val="nil"/>
              <w:left w:val="nil"/>
              <w:bottom w:val="nil"/>
              <w:right w:val="nil"/>
            </w:tcBorders>
            <w:shd w:val="clear" w:color="auto" w:fill="auto"/>
            <w:noWrap/>
            <w:vAlign w:val="bottom"/>
            <w:hideMark/>
          </w:tcPr>
          <w:p w:rsidR="00C43EBB" w:rsidRPr="00C43EBB" w:rsidRDefault="00C43EBB" w:rsidP="003306C8">
            <w:pPr>
              <w:spacing w:after="0" w:line="240" w:lineRule="auto"/>
              <w:rPr>
                <w:rFonts w:ascii="Calibri" w:eastAsia="Times New Roman" w:hAnsi="Calibri" w:cs="Times New Roman"/>
              </w:rPr>
            </w:pPr>
            <w:r w:rsidRPr="00C43EBB">
              <w:rPr>
                <w:rFonts w:ascii="Calibri" w:eastAsia="Times New Roman" w:hAnsi="Calibri" w:cs="Times New Roman"/>
              </w:rPr>
              <w:t>193</w:t>
            </w:r>
          </w:p>
        </w:tc>
      </w:tr>
      <w:tr w:rsidR="00C43EBB" w:rsidRPr="00C43EBB" w:rsidTr="00C43EBB">
        <w:trPr>
          <w:trHeight w:val="300"/>
          <w:jc w:val="center"/>
        </w:trPr>
        <w:tc>
          <w:tcPr>
            <w:tcW w:w="1263"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1.01</w:t>
            </w:r>
          </w:p>
        </w:tc>
        <w:tc>
          <w:tcPr>
            <w:tcW w:w="1381" w:type="dxa"/>
            <w:tcBorders>
              <w:top w:val="nil"/>
              <w:left w:val="nil"/>
              <w:bottom w:val="single" w:sz="4" w:space="0" w:color="auto"/>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1.4</w:t>
            </w:r>
          </w:p>
        </w:tc>
        <w:tc>
          <w:tcPr>
            <w:tcW w:w="828" w:type="dxa"/>
            <w:tcBorders>
              <w:top w:val="nil"/>
              <w:left w:val="nil"/>
              <w:bottom w:val="single" w:sz="4" w:space="0" w:color="auto"/>
              <w:right w:val="nil"/>
            </w:tcBorders>
            <w:shd w:val="clear" w:color="auto" w:fill="auto"/>
            <w:noWrap/>
            <w:vAlign w:val="bottom"/>
            <w:hideMark/>
          </w:tcPr>
          <w:p w:rsidR="00C43EBB" w:rsidRPr="00C43EBB" w:rsidRDefault="003306C8" w:rsidP="003306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2.2</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3306C8">
            <w:pPr>
              <w:spacing w:after="0" w:line="240" w:lineRule="auto"/>
              <w:jc w:val="center"/>
              <w:rPr>
                <w:rFonts w:ascii="Calibri" w:eastAsia="Times New Roman" w:hAnsi="Calibri" w:cs="Times New Roman"/>
              </w:rPr>
            </w:pPr>
            <w:r w:rsidRPr="00C43EBB">
              <w:rPr>
                <w:rFonts w:ascii="Calibri" w:eastAsia="Times New Roman" w:hAnsi="Calibri" w:cs="Times New Roman"/>
              </w:rPr>
              <w:t>5.6</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3306C8">
            <w:pPr>
              <w:spacing w:after="0" w:line="240" w:lineRule="auto"/>
              <w:rPr>
                <w:rFonts w:ascii="Calibri" w:eastAsia="Times New Roman" w:hAnsi="Calibri" w:cs="Times New Roman"/>
              </w:rPr>
            </w:pPr>
            <w:r w:rsidRPr="00C43EBB">
              <w:rPr>
                <w:rFonts w:ascii="Calibri" w:eastAsia="Times New Roman" w:hAnsi="Calibri" w:cs="Times New Roman"/>
              </w:rPr>
              <w:t>31</w:t>
            </w:r>
          </w:p>
        </w:tc>
        <w:tc>
          <w:tcPr>
            <w:tcW w:w="804" w:type="dxa"/>
            <w:tcBorders>
              <w:top w:val="nil"/>
              <w:left w:val="nil"/>
              <w:bottom w:val="single" w:sz="4" w:space="0" w:color="auto"/>
              <w:right w:val="nil"/>
            </w:tcBorders>
            <w:shd w:val="clear" w:color="auto" w:fill="auto"/>
            <w:noWrap/>
            <w:vAlign w:val="bottom"/>
            <w:hideMark/>
          </w:tcPr>
          <w:p w:rsidR="00C43EBB" w:rsidRPr="00C43EBB" w:rsidRDefault="003306C8" w:rsidP="003306C8">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58</w:t>
            </w:r>
          </w:p>
        </w:tc>
        <w:tc>
          <w:tcPr>
            <w:tcW w:w="804" w:type="dxa"/>
            <w:tcBorders>
              <w:top w:val="nil"/>
              <w:left w:val="nil"/>
              <w:bottom w:val="single" w:sz="4" w:space="0" w:color="auto"/>
              <w:right w:val="nil"/>
            </w:tcBorders>
            <w:shd w:val="clear" w:color="auto" w:fill="auto"/>
            <w:noWrap/>
            <w:vAlign w:val="bottom"/>
            <w:hideMark/>
          </w:tcPr>
          <w:p w:rsidR="00C43EBB" w:rsidRPr="00C43EBB" w:rsidRDefault="00C43EBB" w:rsidP="003306C8">
            <w:pPr>
              <w:spacing w:after="0" w:line="240" w:lineRule="auto"/>
              <w:rPr>
                <w:rFonts w:ascii="Calibri" w:eastAsia="Times New Roman" w:hAnsi="Calibri" w:cs="Times New Roman"/>
              </w:rPr>
            </w:pPr>
            <w:r w:rsidRPr="00C43EBB">
              <w:rPr>
                <w:rFonts w:ascii="Calibri" w:eastAsia="Times New Roman" w:hAnsi="Calibri" w:cs="Times New Roman"/>
              </w:rPr>
              <w:t>137</w:t>
            </w:r>
          </w:p>
        </w:tc>
        <w:tc>
          <w:tcPr>
            <w:tcW w:w="804" w:type="dxa"/>
            <w:tcBorders>
              <w:top w:val="nil"/>
              <w:left w:val="nil"/>
              <w:bottom w:val="single" w:sz="4" w:space="0" w:color="auto"/>
              <w:right w:val="nil"/>
            </w:tcBorders>
            <w:shd w:val="clear" w:color="auto" w:fill="auto"/>
            <w:noWrap/>
            <w:vAlign w:val="bottom"/>
            <w:hideMark/>
          </w:tcPr>
          <w:p w:rsidR="00C43EBB" w:rsidRPr="00C43EBB" w:rsidRDefault="00C43EBB" w:rsidP="003306C8">
            <w:pPr>
              <w:spacing w:after="0" w:line="240" w:lineRule="auto"/>
              <w:rPr>
                <w:rFonts w:ascii="Calibri" w:eastAsia="Times New Roman" w:hAnsi="Calibri" w:cs="Times New Roman"/>
              </w:rPr>
            </w:pPr>
            <w:r w:rsidRPr="00C43EBB">
              <w:rPr>
                <w:rFonts w:ascii="Calibri" w:eastAsia="Times New Roman" w:hAnsi="Calibri" w:cs="Times New Roman"/>
              </w:rPr>
              <w:t>170</w:t>
            </w:r>
          </w:p>
        </w:tc>
        <w:tc>
          <w:tcPr>
            <w:tcW w:w="815" w:type="dxa"/>
            <w:tcBorders>
              <w:top w:val="nil"/>
              <w:left w:val="nil"/>
              <w:bottom w:val="single" w:sz="4" w:space="0" w:color="auto"/>
              <w:right w:val="nil"/>
            </w:tcBorders>
            <w:shd w:val="clear" w:color="auto" w:fill="auto"/>
            <w:noWrap/>
            <w:vAlign w:val="bottom"/>
            <w:hideMark/>
          </w:tcPr>
          <w:p w:rsidR="00C43EBB" w:rsidRPr="00C43EBB" w:rsidRDefault="00C43EBB" w:rsidP="003306C8">
            <w:pPr>
              <w:spacing w:after="0" w:line="240" w:lineRule="auto"/>
              <w:rPr>
                <w:rFonts w:ascii="Calibri" w:eastAsia="Times New Roman" w:hAnsi="Calibri" w:cs="Times New Roman"/>
              </w:rPr>
            </w:pPr>
            <w:r w:rsidRPr="00C43EBB">
              <w:rPr>
                <w:rFonts w:ascii="Calibri" w:eastAsia="Times New Roman" w:hAnsi="Calibri" w:cs="Times New Roman"/>
              </w:rPr>
              <w:t>253</w:t>
            </w:r>
          </w:p>
        </w:tc>
      </w:tr>
      <w:tr w:rsidR="00C43EBB" w:rsidRPr="00C43EBB" w:rsidTr="00C43EBB">
        <w:trPr>
          <w:trHeight w:val="300"/>
          <w:jc w:val="center"/>
        </w:trPr>
        <w:tc>
          <w:tcPr>
            <w:tcW w:w="2427" w:type="dxa"/>
            <w:gridSpan w:val="2"/>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Kentau statistic</w:t>
            </w:r>
          </w:p>
        </w:tc>
        <w:tc>
          <w:tcPr>
            <w:tcW w:w="138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0.126</w:t>
            </w:r>
          </w:p>
        </w:tc>
        <w:tc>
          <w:tcPr>
            <w:tcW w:w="82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0.107</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0.083</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0.008</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-0.028</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-0.028</w:t>
            </w:r>
          </w:p>
        </w:tc>
        <w:tc>
          <w:tcPr>
            <w:tcW w:w="804"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-0.146</w:t>
            </w:r>
          </w:p>
        </w:tc>
        <w:tc>
          <w:tcPr>
            <w:tcW w:w="81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-0.067</w:t>
            </w:r>
          </w:p>
        </w:tc>
      </w:tr>
      <w:tr w:rsidR="00C43EBB" w:rsidRPr="00C43EBB" w:rsidTr="00C43EBB">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P-value</w:t>
            </w:r>
          </w:p>
        </w:tc>
        <w:tc>
          <w:tcPr>
            <w:tcW w:w="1381"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0.363</w:t>
            </w:r>
          </w:p>
        </w:tc>
        <w:tc>
          <w:tcPr>
            <w:tcW w:w="82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0.446</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0.558</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0.907</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0.979</w:t>
            </w:r>
          </w:p>
        </w:tc>
        <w:tc>
          <w:tcPr>
            <w:tcW w:w="804"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0.874</w:t>
            </w:r>
          </w:p>
        </w:tc>
        <w:tc>
          <w:tcPr>
            <w:tcW w:w="804"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0.874</w:t>
            </w:r>
          </w:p>
        </w:tc>
        <w:tc>
          <w:tcPr>
            <w:tcW w:w="804"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0.342</w:t>
            </w:r>
          </w:p>
        </w:tc>
        <w:tc>
          <w:tcPr>
            <w:tcW w:w="81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0.673</w:t>
            </w:r>
          </w:p>
        </w:tc>
      </w:tr>
    </w:tbl>
    <w:p w:rsidR="00F643B1" w:rsidRPr="00567261" w:rsidRDefault="00F643B1" w:rsidP="00567261">
      <w:pPr>
        <w:jc w:val="center"/>
        <w:rPr>
          <w:sz w:val="24"/>
          <w:szCs w:val="24"/>
        </w:rPr>
      </w:pPr>
    </w:p>
    <w:tbl>
      <w:tblPr>
        <w:tblW w:w="9890" w:type="dxa"/>
        <w:jc w:val="center"/>
        <w:tblInd w:w="93" w:type="dxa"/>
        <w:tblLook w:val="04A0" w:firstRow="1" w:lastRow="0" w:firstColumn="1" w:lastColumn="0" w:noHBand="0" w:noVBand="1"/>
      </w:tblPr>
      <w:tblGrid>
        <w:gridCol w:w="1531"/>
        <w:gridCol w:w="1148"/>
        <w:gridCol w:w="1438"/>
        <w:gridCol w:w="895"/>
        <w:gridCol w:w="718"/>
        <w:gridCol w:w="718"/>
        <w:gridCol w:w="266"/>
        <w:gridCol w:w="807"/>
        <w:gridCol w:w="795"/>
        <w:gridCol w:w="785"/>
        <w:gridCol w:w="789"/>
      </w:tblGrid>
      <w:tr w:rsidR="00C43EBB" w:rsidRPr="00C43EBB" w:rsidTr="00C43EBB">
        <w:trPr>
          <w:trHeight w:val="600"/>
          <w:jc w:val="center"/>
        </w:trPr>
        <w:tc>
          <w:tcPr>
            <w:tcW w:w="9890" w:type="dxa"/>
            <w:gridSpan w:val="11"/>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05491000 Annual nonexceedance probability of seasonal low discharges, based on April 1922 to September 1931, September 1958 to September 1973 period of record (24</w:t>
            </w:r>
            <w:r>
              <w:rPr>
                <w:rFonts w:ascii="Calibri" w:eastAsia="Times New Roman" w:hAnsi="Calibri" w:cs="Times New Roman"/>
                <w:color w:val="000000"/>
              </w:rPr>
              <w:t>–</w:t>
            </w:r>
            <w:r w:rsidRPr="00C43EBB">
              <w:rPr>
                <w:rFonts w:ascii="Calibri" w:eastAsia="Times New Roman" w:hAnsi="Calibri" w:cs="Times New Roman"/>
                <w:color w:val="000000"/>
              </w:rPr>
              <w:t>25 years)</w:t>
            </w:r>
          </w:p>
        </w:tc>
      </w:tr>
      <w:tr w:rsidR="00C43EBB" w:rsidRPr="00C43EBB" w:rsidTr="00C43EBB">
        <w:trPr>
          <w:trHeight w:val="675"/>
          <w:jc w:val="center"/>
        </w:trPr>
        <w:tc>
          <w:tcPr>
            <w:tcW w:w="1531" w:type="dxa"/>
            <w:vMerge w:val="restart"/>
            <w:tcBorders>
              <w:top w:val="nil"/>
              <w:left w:val="nil"/>
              <w:bottom w:val="single" w:sz="4" w:space="0" w:color="000000"/>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Recur-rence interval (years)</w:t>
            </w:r>
          </w:p>
        </w:tc>
        <w:tc>
          <w:tcPr>
            <w:tcW w:w="7211" w:type="dxa"/>
            <w:gridSpan w:val="9"/>
            <w:tcBorders>
              <w:top w:val="single" w:sz="4" w:space="0" w:color="auto"/>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Minimum average discharge (cubic feet per second)                                                                          for indicated number of consecutive days</w:t>
            </w:r>
          </w:p>
        </w:tc>
      </w:tr>
      <w:tr w:rsidR="00C43EBB" w:rsidRPr="00C43EBB" w:rsidTr="00C43EBB">
        <w:trPr>
          <w:trHeight w:val="495"/>
          <w:jc w:val="center"/>
        </w:trPr>
        <w:tc>
          <w:tcPr>
            <w:tcW w:w="1531" w:type="dxa"/>
            <w:vMerge/>
            <w:tcBorders>
              <w:top w:val="nil"/>
              <w:left w:val="nil"/>
              <w:bottom w:val="single" w:sz="4" w:space="0" w:color="000000"/>
              <w:right w:val="nil"/>
            </w:tcBorders>
            <w:vAlign w:val="center"/>
            <w:hideMark/>
          </w:tcPr>
          <w:p w:rsidR="00C43EBB" w:rsidRPr="00C43EBB" w:rsidRDefault="00C43EBB" w:rsidP="00C43EBB">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C43EBB" w:rsidRPr="00C43EBB" w:rsidRDefault="00C43EBB" w:rsidP="00C43EBB">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w:t>
            </w:r>
          </w:p>
        </w:tc>
        <w:tc>
          <w:tcPr>
            <w:tcW w:w="79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30</w:t>
            </w:r>
          </w:p>
        </w:tc>
      </w:tr>
      <w:tr w:rsidR="00C43EBB" w:rsidRPr="00C43EBB" w:rsidTr="00C43EBB">
        <w:trPr>
          <w:trHeight w:val="300"/>
          <w:jc w:val="center"/>
        </w:trPr>
        <w:tc>
          <w:tcPr>
            <w:tcW w:w="1531"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p>
        </w:tc>
        <w:tc>
          <w:tcPr>
            <w:tcW w:w="3769" w:type="dxa"/>
            <w:gridSpan w:val="4"/>
            <w:tcBorders>
              <w:top w:val="single" w:sz="4" w:space="0" w:color="auto"/>
              <w:left w:val="nil"/>
              <w:bottom w:val="nil"/>
              <w:right w:val="nil"/>
            </w:tcBorders>
            <w:shd w:val="clear" w:color="auto" w:fill="auto"/>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p>
        </w:tc>
        <w:tc>
          <w:tcPr>
            <w:tcW w:w="3176" w:type="dxa"/>
            <w:gridSpan w:val="4"/>
            <w:tcBorders>
              <w:top w:val="single" w:sz="4" w:space="0" w:color="auto"/>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April-May-June</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0.01</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0.29</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0.03</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0.45</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0.10</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0.89</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0.40</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0.15</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0.28</w:t>
            </w:r>
          </w:p>
        </w:tc>
        <w:tc>
          <w:tcPr>
            <w:tcW w:w="789"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1.6</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0.48</w:t>
            </w:r>
          </w:p>
        </w:tc>
        <w:tc>
          <w:tcPr>
            <w:tcW w:w="71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0.42</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0.68</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0.89</w:t>
            </w:r>
          </w:p>
        </w:tc>
        <w:tc>
          <w:tcPr>
            <w:tcW w:w="789"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3.2</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jc w:val="center"/>
              <w:rPr>
                <w:rFonts w:ascii="Calibri" w:eastAsia="Times New Roman" w:hAnsi="Calibri" w:cs="Times New Roman"/>
              </w:rPr>
            </w:pPr>
            <w:r w:rsidRPr="00C43EBB">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9.6</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2.3</w:t>
            </w:r>
          </w:p>
        </w:tc>
        <w:tc>
          <w:tcPr>
            <w:tcW w:w="7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3.3</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5.4</w:t>
            </w:r>
          </w:p>
        </w:tc>
        <w:tc>
          <w:tcPr>
            <w:tcW w:w="789"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12</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6.3</w:t>
            </w:r>
          </w:p>
        </w:tc>
        <w:tc>
          <w:tcPr>
            <w:tcW w:w="8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7.9</w:t>
            </w:r>
          </w:p>
        </w:tc>
        <w:tc>
          <w:tcPr>
            <w:tcW w:w="7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12</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20</w:t>
            </w:r>
          </w:p>
        </w:tc>
        <w:tc>
          <w:tcPr>
            <w:tcW w:w="789"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41</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9.3</w:t>
            </w:r>
          </w:p>
        </w:tc>
        <w:tc>
          <w:tcPr>
            <w:tcW w:w="8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51</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15</w:t>
            </w:r>
          </w:p>
        </w:tc>
        <w:tc>
          <w:tcPr>
            <w:tcW w:w="7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21</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34</w:t>
            </w:r>
          </w:p>
        </w:tc>
        <w:tc>
          <w:tcPr>
            <w:tcW w:w="789"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77</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76</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28</w:t>
            </w:r>
          </w:p>
        </w:tc>
        <w:tc>
          <w:tcPr>
            <w:tcW w:w="7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39</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53</w:t>
            </w:r>
          </w:p>
        </w:tc>
        <w:tc>
          <w:tcPr>
            <w:tcW w:w="789"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147</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93</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44</w:t>
            </w:r>
          </w:p>
        </w:tc>
        <w:tc>
          <w:tcPr>
            <w:tcW w:w="7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57</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80</w:t>
            </w:r>
          </w:p>
        </w:tc>
        <w:tc>
          <w:tcPr>
            <w:tcW w:w="789"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223</w:t>
            </w:r>
          </w:p>
        </w:tc>
      </w:tr>
      <w:tr w:rsidR="00C43EBB" w:rsidRPr="00C43EBB" w:rsidTr="00C43EBB">
        <w:trPr>
          <w:trHeight w:val="300"/>
          <w:jc w:val="center"/>
        </w:trPr>
        <w:tc>
          <w:tcPr>
            <w:tcW w:w="1531"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20</w:t>
            </w:r>
          </w:p>
        </w:tc>
        <w:tc>
          <w:tcPr>
            <w:tcW w:w="895" w:type="dxa"/>
            <w:tcBorders>
              <w:top w:val="nil"/>
              <w:left w:val="nil"/>
              <w:bottom w:val="single" w:sz="4" w:space="0" w:color="auto"/>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35</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70</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108</w:t>
            </w:r>
          </w:p>
        </w:tc>
        <w:tc>
          <w:tcPr>
            <w:tcW w:w="266"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r w:rsidRPr="00C43EBB">
              <w:rPr>
                <w:rFonts w:ascii="Calibri" w:eastAsia="Times New Roman" w:hAnsi="Calibri" w:cs="Times New Roman"/>
              </w:rPr>
              <w:t> </w:t>
            </w:r>
          </w:p>
        </w:tc>
        <w:tc>
          <w:tcPr>
            <w:tcW w:w="807" w:type="dxa"/>
            <w:tcBorders>
              <w:top w:val="nil"/>
              <w:left w:val="nil"/>
              <w:bottom w:val="single" w:sz="4" w:space="0" w:color="auto"/>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65</w:t>
            </w:r>
          </w:p>
        </w:tc>
        <w:tc>
          <w:tcPr>
            <w:tcW w:w="795" w:type="dxa"/>
            <w:tcBorders>
              <w:top w:val="nil"/>
              <w:left w:val="nil"/>
              <w:bottom w:val="single" w:sz="4" w:space="0" w:color="auto"/>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79</w:t>
            </w:r>
          </w:p>
        </w:tc>
        <w:tc>
          <w:tcPr>
            <w:tcW w:w="785" w:type="dxa"/>
            <w:tcBorders>
              <w:top w:val="nil"/>
              <w:left w:val="nil"/>
              <w:bottom w:val="single" w:sz="4" w:space="0" w:color="auto"/>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150</w:t>
            </w:r>
          </w:p>
        </w:tc>
        <w:tc>
          <w:tcPr>
            <w:tcW w:w="789" w:type="dxa"/>
            <w:tcBorders>
              <w:top w:val="nil"/>
              <w:left w:val="nil"/>
              <w:bottom w:val="single" w:sz="4" w:space="0" w:color="auto"/>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322</w:t>
            </w:r>
          </w:p>
        </w:tc>
      </w:tr>
      <w:tr w:rsidR="00C43EBB" w:rsidRPr="00C43EBB" w:rsidTr="00C43EBB">
        <w:trPr>
          <w:trHeight w:val="300"/>
          <w:jc w:val="center"/>
        </w:trPr>
        <w:tc>
          <w:tcPr>
            <w:tcW w:w="2679" w:type="dxa"/>
            <w:gridSpan w:val="2"/>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-0.076</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-0.051</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0.036</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0.247</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0.260</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0.233</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0.180</w:t>
            </w:r>
          </w:p>
        </w:tc>
      </w:tr>
      <w:tr w:rsidR="00C43EBB" w:rsidRPr="00C43EBB" w:rsidTr="00C43EBB">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0.618</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0.746</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0.941</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0.823</w:t>
            </w:r>
          </w:p>
        </w:tc>
        <w:tc>
          <w:tcPr>
            <w:tcW w:w="266"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 </w:t>
            </w: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0.087</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0.072</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0.107</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0.216</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c>
          <w:tcPr>
            <w:tcW w:w="3769" w:type="dxa"/>
            <w:gridSpan w:val="4"/>
            <w:tcBorders>
              <w:top w:val="single" w:sz="4" w:space="0" w:color="auto"/>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c>
          <w:tcPr>
            <w:tcW w:w="3176" w:type="dxa"/>
            <w:gridSpan w:val="4"/>
            <w:tcBorders>
              <w:top w:val="single" w:sz="4" w:space="0" w:color="auto"/>
              <w:left w:val="nil"/>
              <w:bottom w:val="nil"/>
              <w:right w:val="nil"/>
            </w:tcBorders>
            <w:shd w:val="clear" w:color="auto" w:fill="auto"/>
            <w:noWrap/>
            <w:vAlign w:val="bottom"/>
            <w:hideMark/>
          </w:tcPr>
          <w:p w:rsidR="00C43EBB" w:rsidRPr="00C43EBB" w:rsidRDefault="00C43EBB" w:rsidP="00C43EBB">
            <w:pPr>
              <w:spacing w:after="0" w:line="240" w:lineRule="auto"/>
              <w:jc w:val="center"/>
              <w:rPr>
                <w:rFonts w:ascii="Calibri" w:eastAsia="Times New Roman" w:hAnsi="Calibri" w:cs="Times New Roman"/>
                <w:color w:val="000000"/>
              </w:rPr>
            </w:pPr>
            <w:r w:rsidRPr="00C43EBB">
              <w:rPr>
                <w:rFonts w:ascii="Calibri" w:eastAsia="Times New Roman" w:hAnsi="Calibri" w:cs="Times New Roman"/>
                <w:color w:val="000000"/>
              </w:rPr>
              <w:t>October-November-December</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0.07</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0.00</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0.05</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0.06</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0.12</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0.38</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jc w:val="center"/>
              <w:rPr>
                <w:rFonts w:ascii="Calibri" w:eastAsia="Times New Roman" w:hAnsi="Calibri" w:cs="Times New Roman"/>
              </w:rPr>
            </w:pPr>
            <w:r w:rsidRPr="00C43EBB">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0.54</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0.56</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1.3</w:t>
            </w:r>
          </w:p>
        </w:tc>
        <w:tc>
          <w:tcPr>
            <w:tcW w:w="789"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1E7F">
              <w:rPr>
                <w:rFonts w:ascii="Calibri" w:eastAsia="Times New Roman" w:hAnsi="Calibri" w:cs="Times New Roman"/>
              </w:rPr>
              <w:t xml:space="preserve"> </w:t>
            </w:r>
            <w:r w:rsidR="00C43EBB" w:rsidRPr="00C43EBB">
              <w:rPr>
                <w:rFonts w:ascii="Calibri" w:eastAsia="Times New Roman" w:hAnsi="Calibri" w:cs="Times New Roman"/>
              </w:rPr>
              <w:t>2.7</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jc w:val="center"/>
              <w:rPr>
                <w:rFonts w:ascii="Calibri" w:eastAsia="Times New Roman" w:hAnsi="Calibri" w:cs="Times New Roman"/>
              </w:rPr>
            </w:pPr>
            <w:r w:rsidRPr="00C43EBB">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jc w:val="center"/>
              <w:rPr>
                <w:rFonts w:ascii="Calibri" w:eastAsia="Times New Roman" w:hAnsi="Calibri" w:cs="Times New Roman"/>
              </w:rPr>
            </w:pPr>
            <w:r w:rsidRPr="00C43EBB">
              <w:rPr>
                <w:rFonts w:ascii="Calibri" w:eastAsia="Times New Roman" w:hAnsi="Calibri" w:cs="Times New Roman"/>
              </w:rPr>
              <w:t>6.7</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3.6</w:t>
            </w:r>
          </w:p>
        </w:tc>
        <w:tc>
          <w:tcPr>
            <w:tcW w:w="7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5.5</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9.4</w:t>
            </w:r>
          </w:p>
        </w:tc>
        <w:tc>
          <w:tcPr>
            <w:tcW w:w="789"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18</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jc w:val="center"/>
              <w:rPr>
                <w:rFonts w:ascii="Calibri" w:eastAsia="Times New Roman" w:hAnsi="Calibri" w:cs="Times New Roman"/>
              </w:rPr>
            </w:pPr>
            <w:r w:rsidRPr="00C43EBB">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6.6</w:t>
            </w:r>
          </w:p>
        </w:tc>
        <w:tc>
          <w:tcPr>
            <w:tcW w:w="7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9.4</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19</w:t>
            </w:r>
          </w:p>
        </w:tc>
        <w:tc>
          <w:tcPr>
            <w:tcW w:w="789"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37</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jc w:val="center"/>
              <w:rPr>
                <w:rFonts w:ascii="Calibri" w:eastAsia="Times New Roman" w:hAnsi="Calibri" w:cs="Times New Roman"/>
              </w:rPr>
            </w:pPr>
            <w:r w:rsidRPr="00C43EBB">
              <w:rPr>
                <w:rFonts w:ascii="Calibri" w:eastAsia="Times New Roman" w:hAnsi="Calibri" w:cs="Times New Roman"/>
              </w:rPr>
              <w:t>8.9</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12</w:t>
            </w:r>
          </w:p>
        </w:tc>
        <w:tc>
          <w:tcPr>
            <w:tcW w:w="7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14</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34</w:t>
            </w:r>
          </w:p>
        </w:tc>
        <w:tc>
          <w:tcPr>
            <w:tcW w:w="789"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71</w:t>
            </w:r>
          </w:p>
        </w:tc>
      </w:tr>
      <w:tr w:rsidR="00C43EBB" w:rsidRPr="00C43EBB" w:rsidTr="00C43EBB">
        <w:trPr>
          <w:trHeight w:val="300"/>
          <w:jc w:val="center"/>
        </w:trPr>
        <w:tc>
          <w:tcPr>
            <w:tcW w:w="1531"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6.9</w:t>
            </w:r>
          </w:p>
        </w:tc>
        <w:tc>
          <w:tcPr>
            <w:tcW w:w="8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38</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16</w:t>
            </w:r>
          </w:p>
        </w:tc>
        <w:tc>
          <w:tcPr>
            <w:tcW w:w="79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20</w:t>
            </w:r>
          </w:p>
        </w:tc>
        <w:tc>
          <w:tcPr>
            <w:tcW w:w="785" w:type="dxa"/>
            <w:tcBorders>
              <w:top w:val="nil"/>
              <w:left w:val="nil"/>
              <w:bottom w:val="nil"/>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47</w:t>
            </w:r>
          </w:p>
        </w:tc>
        <w:tc>
          <w:tcPr>
            <w:tcW w:w="789" w:type="dxa"/>
            <w:tcBorders>
              <w:top w:val="nil"/>
              <w:left w:val="nil"/>
              <w:bottom w:val="nil"/>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102</w:t>
            </w:r>
          </w:p>
        </w:tc>
      </w:tr>
      <w:tr w:rsidR="00C43EBB" w:rsidRPr="00C43EBB" w:rsidTr="00C43EBB">
        <w:trPr>
          <w:trHeight w:val="300"/>
          <w:jc w:val="center"/>
        </w:trPr>
        <w:tc>
          <w:tcPr>
            <w:tcW w:w="1531"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rPr>
            </w:pPr>
            <w:r w:rsidRPr="00C43EBB">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C43EBB" w:rsidRPr="00C43EBB" w:rsidRDefault="002911A2" w:rsidP="002911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10</w:t>
            </w:r>
          </w:p>
        </w:tc>
        <w:tc>
          <w:tcPr>
            <w:tcW w:w="895" w:type="dxa"/>
            <w:tcBorders>
              <w:top w:val="nil"/>
              <w:left w:val="nil"/>
              <w:bottom w:val="single" w:sz="4" w:space="0" w:color="auto"/>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12</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16</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54</w:t>
            </w:r>
          </w:p>
        </w:tc>
        <w:tc>
          <w:tcPr>
            <w:tcW w:w="266"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rPr>
            </w:pPr>
            <w:r w:rsidRPr="00C43EBB">
              <w:rPr>
                <w:rFonts w:ascii="Calibri" w:eastAsia="Times New Roman" w:hAnsi="Calibri" w:cs="Times New Roman"/>
              </w:rPr>
              <w:t> </w:t>
            </w:r>
          </w:p>
        </w:tc>
        <w:tc>
          <w:tcPr>
            <w:tcW w:w="807" w:type="dxa"/>
            <w:tcBorders>
              <w:top w:val="nil"/>
              <w:left w:val="nil"/>
              <w:bottom w:val="single" w:sz="4" w:space="0" w:color="auto"/>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21</w:t>
            </w:r>
          </w:p>
        </w:tc>
        <w:tc>
          <w:tcPr>
            <w:tcW w:w="795" w:type="dxa"/>
            <w:tcBorders>
              <w:top w:val="nil"/>
              <w:left w:val="nil"/>
              <w:bottom w:val="single" w:sz="4" w:space="0" w:color="auto"/>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35</w:t>
            </w:r>
          </w:p>
        </w:tc>
        <w:tc>
          <w:tcPr>
            <w:tcW w:w="785" w:type="dxa"/>
            <w:tcBorders>
              <w:top w:val="nil"/>
              <w:left w:val="nil"/>
              <w:bottom w:val="single" w:sz="4" w:space="0" w:color="auto"/>
              <w:right w:val="nil"/>
            </w:tcBorders>
            <w:shd w:val="clear" w:color="auto" w:fill="auto"/>
            <w:noWrap/>
            <w:vAlign w:val="bottom"/>
            <w:hideMark/>
          </w:tcPr>
          <w:p w:rsidR="00C43EBB" w:rsidRPr="00C43EBB" w:rsidRDefault="002911A2" w:rsidP="002911A2">
            <w:pPr>
              <w:spacing w:after="0" w:line="240" w:lineRule="auto"/>
              <w:rPr>
                <w:rFonts w:ascii="Calibri" w:eastAsia="Times New Roman" w:hAnsi="Calibri" w:cs="Times New Roman"/>
              </w:rPr>
            </w:pPr>
            <w:r>
              <w:rPr>
                <w:rFonts w:ascii="Calibri" w:eastAsia="Times New Roman" w:hAnsi="Calibri" w:cs="Times New Roman"/>
              </w:rPr>
              <w:t xml:space="preserve"> </w:t>
            </w:r>
            <w:r w:rsidR="00C43EBB" w:rsidRPr="00C43EBB">
              <w:rPr>
                <w:rFonts w:ascii="Calibri" w:eastAsia="Times New Roman" w:hAnsi="Calibri" w:cs="Times New Roman"/>
              </w:rPr>
              <w:t>59</w:t>
            </w:r>
          </w:p>
        </w:tc>
        <w:tc>
          <w:tcPr>
            <w:tcW w:w="789" w:type="dxa"/>
            <w:tcBorders>
              <w:top w:val="nil"/>
              <w:left w:val="nil"/>
              <w:bottom w:val="single" w:sz="4" w:space="0" w:color="auto"/>
              <w:right w:val="nil"/>
            </w:tcBorders>
            <w:shd w:val="clear" w:color="auto" w:fill="auto"/>
            <w:noWrap/>
            <w:vAlign w:val="bottom"/>
            <w:hideMark/>
          </w:tcPr>
          <w:p w:rsidR="00C43EBB" w:rsidRPr="00C43EBB" w:rsidRDefault="00C43EBB" w:rsidP="002911A2">
            <w:pPr>
              <w:spacing w:after="0" w:line="240" w:lineRule="auto"/>
              <w:rPr>
                <w:rFonts w:ascii="Calibri" w:eastAsia="Times New Roman" w:hAnsi="Calibri" w:cs="Times New Roman"/>
              </w:rPr>
            </w:pPr>
            <w:r w:rsidRPr="00C43EBB">
              <w:rPr>
                <w:rFonts w:ascii="Calibri" w:eastAsia="Times New Roman" w:hAnsi="Calibri" w:cs="Times New Roman"/>
              </w:rPr>
              <w:t>137</w:t>
            </w:r>
          </w:p>
        </w:tc>
      </w:tr>
      <w:tr w:rsidR="00C43EBB" w:rsidRPr="00C43EBB" w:rsidTr="00C43EBB">
        <w:trPr>
          <w:trHeight w:val="300"/>
          <w:jc w:val="center"/>
        </w:trPr>
        <w:tc>
          <w:tcPr>
            <w:tcW w:w="2679" w:type="dxa"/>
            <w:gridSpan w:val="2"/>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0.083</w:t>
            </w:r>
          </w:p>
        </w:tc>
        <w:tc>
          <w:tcPr>
            <w:tcW w:w="8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0.077</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0.023</w:t>
            </w:r>
          </w:p>
        </w:tc>
        <w:tc>
          <w:tcPr>
            <w:tcW w:w="718"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0.017</w:t>
            </w:r>
          </w:p>
        </w:tc>
        <w:tc>
          <w:tcPr>
            <w:tcW w:w="266"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-0.022</w:t>
            </w:r>
          </w:p>
        </w:tc>
        <w:tc>
          <w:tcPr>
            <w:tcW w:w="79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-0.022</w:t>
            </w:r>
          </w:p>
        </w:tc>
        <w:tc>
          <w:tcPr>
            <w:tcW w:w="785"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-0.043</w:t>
            </w:r>
          </w:p>
        </w:tc>
        <w:tc>
          <w:tcPr>
            <w:tcW w:w="789" w:type="dxa"/>
            <w:tcBorders>
              <w:top w:val="nil"/>
              <w:left w:val="nil"/>
              <w:bottom w:val="nil"/>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-0.051</w:t>
            </w:r>
          </w:p>
        </w:tc>
      </w:tr>
      <w:tr w:rsidR="00C43EBB" w:rsidRPr="00C43EBB" w:rsidTr="00C43EBB">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0.551</w:t>
            </w:r>
          </w:p>
        </w:tc>
        <w:tc>
          <w:tcPr>
            <w:tcW w:w="89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0.590</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0.883</w:t>
            </w:r>
          </w:p>
        </w:tc>
        <w:tc>
          <w:tcPr>
            <w:tcW w:w="718"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0.926</w:t>
            </w:r>
          </w:p>
        </w:tc>
        <w:tc>
          <w:tcPr>
            <w:tcW w:w="266"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rPr>
                <w:rFonts w:ascii="Calibri" w:eastAsia="Times New Roman" w:hAnsi="Calibri" w:cs="Times New Roman"/>
                <w:color w:val="000000"/>
              </w:rPr>
            </w:pPr>
            <w:r w:rsidRPr="00C43EBB">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0.898</w:t>
            </w:r>
          </w:p>
        </w:tc>
        <w:tc>
          <w:tcPr>
            <w:tcW w:w="79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0.898</w:t>
            </w:r>
          </w:p>
        </w:tc>
        <w:tc>
          <w:tcPr>
            <w:tcW w:w="785"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0.784</w:t>
            </w:r>
          </w:p>
        </w:tc>
        <w:tc>
          <w:tcPr>
            <w:tcW w:w="789" w:type="dxa"/>
            <w:tcBorders>
              <w:top w:val="nil"/>
              <w:left w:val="nil"/>
              <w:bottom w:val="single" w:sz="4" w:space="0" w:color="auto"/>
              <w:right w:val="nil"/>
            </w:tcBorders>
            <w:shd w:val="clear" w:color="auto" w:fill="auto"/>
            <w:noWrap/>
            <w:vAlign w:val="bottom"/>
            <w:hideMark/>
          </w:tcPr>
          <w:p w:rsidR="00C43EBB" w:rsidRPr="00C43EBB" w:rsidRDefault="00C43EBB" w:rsidP="00C43EBB">
            <w:pPr>
              <w:spacing w:after="0" w:line="240" w:lineRule="auto"/>
              <w:jc w:val="right"/>
              <w:rPr>
                <w:rFonts w:ascii="Calibri" w:eastAsia="Times New Roman" w:hAnsi="Calibri" w:cs="Times New Roman"/>
                <w:color w:val="000000"/>
              </w:rPr>
            </w:pPr>
            <w:r w:rsidRPr="00C43EBB">
              <w:rPr>
                <w:rFonts w:ascii="Calibri" w:eastAsia="Times New Roman" w:hAnsi="Calibri" w:cs="Times New Roman"/>
                <w:color w:val="000000"/>
              </w:rPr>
              <w:t>0.746</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C43EBB"/>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BB" w:rsidRDefault="00B904BB" w:rsidP="00635780">
      <w:pPr>
        <w:spacing w:after="0" w:line="240" w:lineRule="auto"/>
      </w:pPr>
      <w:r>
        <w:separator/>
      </w:r>
    </w:p>
  </w:endnote>
  <w:endnote w:type="continuationSeparator" w:id="0">
    <w:p w:rsidR="00B904BB" w:rsidRDefault="00B904B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D53D66" w:rsidRDefault="00D53D66">
        <w:pPr>
          <w:pStyle w:val="Footer"/>
          <w:jc w:val="center"/>
        </w:pPr>
        <w:r>
          <w:fldChar w:fldCharType="begin"/>
        </w:r>
        <w:r>
          <w:instrText xml:space="preserve"> PAGE   \* MERGEFORMAT </w:instrText>
        </w:r>
        <w:r>
          <w:fldChar w:fldCharType="separate"/>
        </w:r>
        <w:r w:rsidR="00ED595A">
          <w:rPr>
            <w:noProof/>
          </w:rPr>
          <w:t>2</w:t>
        </w:r>
        <w:r>
          <w:rPr>
            <w:noProof/>
          </w:rPr>
          <w:fldChar w:fldCharType="end"/>
        </w:r>
      </w:p>
    </w:sdtContent>
  </w:sdt>
  <w:p w:rsidR="00D53D66" w:rsidRDefault="00D53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BB" w:rsidRDefault="00B904BB" w:rsidP="00635780">
      <w:pPr>
        <w:spacing w:after="0" w:line="240" w:lineRule="auto"/>
      </w:pPr>
      <w:r>
        <w:separator/>
      </w:r>
    </w:p>
  </w:footnote>
  <w:footnote w:type="continuationSeparator" w:id="0">
    <w:p w:rsidR="00B904BB" w:rsidRDefault="00B904B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66" w:rsidRPr="00094819" w:rsidRDefault="00D53D66"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D53D66" w:rsidRPr="00094819" w:rsidRDefault="00D53D66"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910</w:t>
    </w:r>
    <w:r w:rsidRPr="00094819">
      <w:rPr>
        <w:rFonts w:ascii="Arial Narrow" w:hAnsi="Arial Narrow" w:cs="Arial"/>
        <w:b/>
        <w:sz w:val="32"/>
        <w:szCs w:val="32"/>
      </w:rPr>
      <w:t xml:space="preserve">00 </w:t>
    </w:r>
    <w:r>
      <w:rPr>
        <w:rFonts w:ascii="Arial Narrow" w:hAnsi="Arial Narrow" w:cs="Arial"/>
        <w:b/>
        <w:sz w:val="32"/>
        <w:szCs w:val="32"/>
      </w:rPr>
      <w:t>SUGAR CREEK</w:t>
    </w:r>
    <w:r w:rsidRPr="00094819">
      <w:rPr>
        <w:rFonts w:ascii="Arial Narrow" w:hAnsi="Arial Narrow" w:cs="Arial"/>
        <w:b/>
        <w:sz w:val="32"/>
        <w:szCs w:val="32"/>
      </w:rPr>
      <w:t xml:space="preserve"> NEAR </w:t>
    </w:r>
    <w:r>
      <w:rPr>
        <w:rFonts w:ascii="Arial Narrow" w:hAnsi="Arial Narrow" w:cs="Arial"/>
        <w:b/>
        <w:sz w:val="32"/>
        <w:szCs w:val="32"/>
      </w:rPr>
      <w:t>KEOKUK</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4217F"/>
    <w:rsid w:val="001428E8"/>
    <w:rsid w:val="0014785B"/>
    <w:rsid w:val="001515C5"/>
    <w:rsid w:val="00154BFD"/>
    <w:rsid w:val="00167A5E"/>
    <w:rsid w:val="0019335F"/>
    <w:rsid w:val="001E5AD5"/>
    <w:rsid w:val="001F168F"/>
    <w:rsid w:val="002055F7"/>
    <w:rsid w:val="00221243"/>
    <w:rsid w:val="00221CD0"/>
    <w:rsid w:val="00222A52"/>
    <w:rsid w:val="002304C1"/>
    <w:rsid w:val="00233460"/>
    <w:rsid w:val="00253B4D"/>
    <w:rsid w:val="00260268"/>
    <w:rsid w:val="00272325"/>
    <w:rsid w:val="00282A42"/>
    <w:rsid w:val="0029065E"/>
    <w:rsid w:val="00290E10"/>
    <w:rsid w:val="002911A2"/>
    <w:rsid w:val="002A2ABC"/>
    <w:rsid w:val="002B2259"/>
    <w:rsid w:val="002F7869"/>
    <w:rsid w:val="00303848"/>
    <w:rsid w:val="003306C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ADC"/>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D6B19"/>
    <w:rsid w:val="006E252B"/>
    <w:rsid w:val="007146E6"/>
    <w:rsid w:val="00721236"/>
    <w:rsid w:val="00730E76"/>
    <w:rsid w:val="00735391"/>
    <w:rsid w:val="007926D6"/>
    <w:rsid w:val="007A5691"/>
    <w:rsid w:val="007B02D7"/>
    <w:rsid w:val="007B3930"/>
    <w:rsid w:val="007B429E"/>
    <w:rsid w:val="007B6CCF"/>
    <w:rsid w:val="007C3CD6"/>
    <w:rsid w:val="007C3F51"/>
    <w:rsid w:val="007D2CF6"/>
    <w:rsid w:val="007E0896"/>
    <w:rsid w:val="007E72A5"/>
    <w:rsid w:val="00802216"/>
    <w:rsid w:val="00821ABA"/>
    <w:rsid w:val="00822587"/>
    <w:rsid w:val="008261A7"/>
    <w:rsid w:val="008303D1"/>
    <w:rsid w:val="00830722"/>
    <w:rsid w:val="008460C8"/>
    <w:rsid w:val="00861BB3"/>
    <w:rsid w:val="008754F5"/>
    <w:rsid w:val="008B75EA"/>
    <w:rsid w:val="008E0ADE"/>
    <w:rsid w:val="00926489"/>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04BB"/>
    <w:rsid w:val="00B92AE3"/>
    <w:rsid w:val="00BB5119"/>
    <w:rsid w:val="00BC45FF"/>
    <w:rsid w:val="00BC5E67"/>
    <w:rsid w:val="00BD4D82"/>
    <w:rsid w:val="00BE7A08"/>
    <w:rsid w:val="00C13C1C"/>
    <w:rsid w:val="00C17B46"/>
    <w:rsid w:val="00C25683"/>
    <w:rsid w:val="00C31CCF"/>
    <w:rsid w:val="00C40F35"/>
    <w:rsid w:val="00C43EBB"/>
    <w:rsid w:val="00C63967"/>
    <w:rsid w:val="00C64069"/>
    <w:rsid w:val="00C85F5E"/>
    <w:rsid w:val="00C868B3"/>
    <w:rsid w:val="00CA7330"/>
    <w:rsid w:val="00CB1FF4"/>
    <w:rsid w:val="00CB4102"/>
    <w:rsid w:val="00CB6360"/>
    <w:rsid w:val="00CD6DFF"/>
    <w:rsid w:val="00CF5693"/>
    <w:rsid w:val="00D0469C"/>
    <w:rsid w:val="00D17C5D"/>
    <w:rsid w:val="00D40310"/>
    <w:rsid w:val="00D46275"/>
    <w:rsid w:val="00D53D66"/>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C5728"/>
    <w:rsid w:val="00ED06BE"/>
    <w:rsid w:val="00ED595A"/>
    <w:rsid w:val="00EE31C0"/>
    <w:rsid w:val="00F4237E"/>
    <w:rsid w:val="00F643B1"/>
    <w:rsid w:val="00F724D9"/>
    <w:rsid w:val="00F77CBF"/>
    <w:rsid w:val="00F91E7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93509654">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99302560">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93572313">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82304247">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49568475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91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BE20-8C0E-4CBD-8A19-111E2422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2015-06-12T21:38:00Z</dcterms:created>
  <dcterms:modified xsi:type="dcterms:W3CDTF">2015-12-15T16:07:00Z</dcterms:modified>
</cp:coreProperties>
</file>