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B7" w:rsidRPr="00421983" w:rsidRDefault="00324FB7">
      <w:pPr>
        <w:rPr>
          <w:b/>
          <w:u w:val="single"/>
        </w:rPr>
      </w:pPr>
      <w:r w:rsidRPr="00421983">
        <w:rPr>
          <w:b/>
          <w:u w:val="single"/>
        </w:rPr>
        <w:t>Water</w:t>
      </w:r>
      <w:r w:rsidR="00732D2F">
        <w:rPr>
          <w:b/>
          <w:u w:val="single"/>
        </w:rPr>
        <w:t>-</w:t>
      </w:r>
      <w:r w:rsidRPr="00421983">
        <w:rPr>
          <w:b/>
          <w:u w:val="single"/>
        </w:rPr>
        <w:t xml:space="preserve">Quality </w:t>
      </w:r>
      <w:r w:rsidR="00732D2F">
        <w:rPr>
          <w:b/>
          <w:u w:val="single"/>
        </w:rPr>
        <w:t>D</w:t>
      </w:r>
      <w:r w:rsidRPr="00421983">
        <w:rPr>
          <w:b/>
          <w:u w:val="single"/>
        </w:rPr>
        <w:t>ata</w:t>
      </w:r>
    </w:p>
    <w:p w:rsidR="00F80F64" w:rsidRDefault="00324FB7">
      <w:r>
        <w:t>Duplicates were collected three times each ye</w:t>
      </w:r>
      <w:r w:rsidR="009C6429">
        <w:t>ar for nutrients, chlorophyll</w:t>
      </w:r>
      <w:r>
        <w:t xml:space="preserve">, and microcystin concentrations. </w:t>
      </w:r>
      <w:r w:rsidR="001D668C">
        <w:t xml:space="preserve">One duplicate sample had incomplete nutrient analyses. </w:t>
      </w:r>
      <w:r>
        <w:t>The data are presented in the file “</w:t>
      </w:r>
      <w:r w:rsidRPr="00324FB7">
        <w:t>Nut</w:t>
      </w:r>
      <w:r w:rsidR="00F80F64">
        <w:t>r</w:t>
      </w:r>
      <w:r w:rsidRPr="00324FB7">
        <w:t xml:space="preserve">ient Chl-a Microcystin </w:t>
      </w:r>
      <w:proofErr w:type="spellStart"/>
      <w:r w:rsidRPr="00324FB7">
        <w:t>qa</w:t>
      </w:r>
      <w:proofErr w:type="spellEnd"/>
      <w:r w:rsidRPr="00324FB7">
        <w:t xml:space="preserve"> qc data</w:t>
      </w:r>
      <w:r w:rsidR="00732D2F">
        <w:t>.</w:t>
      </w:r>
      <w:r>
        <w:t xml:space="preserve">” </w:t>
      </w:r>
    </w:p>
    <w:p w:rsidR="00C71813" w:rsidRDefault="00C71813">
      <w:r>
        <w:t xml:space="preserve">The percent differences between duplicate samples </w:t>
      </w:r>
      <w:r w:rsidR="00F80F64">
        <w:t>were</w:t>
      </w:r>
    </w:p>
    <w:p w:rsidR="00C71813" w:rsidRDefault="00C71813" w:rsidP="00F80F64">
      <w:pPr>
        <w:pStyle w:val="ListParagraph"/>
        <w:numPr>
          <w:ilvl w:val="0"/>
          <w:numId w:val="1"/>
        </w:numPr>
        <w:spacing w:after="0"/>
      </w:pPr>
      <w:r>
        <w:t>NH3+organic N:  0–8.1</w:t>
      </w:r>
      <w:r w:rsidR="00732D2F">
        <w:t xml:space="preserve"> percent</w:t>
      </w:r>
      <w:r>
        <w:t xml:space="preserve">; median 2.6 </w:t>
      </w:r>
      <w:r w:rsidR="00732D2F">
        <w:t>percent</w:t>
      </w:r>
    </w:p>
    <w:p w:rsidR="00C71813" w:rsidRDefault="00C71813" w:rsidP="00F80F64">
      <w:pPr>
        <w:pStyle w:val="ListParagraph"/>
        <w:numPr>
          <w:ilvl w:val="0"/>
          <w:numId w:val="1"/>
        </w:numPr>
        <w:spacing w:after="0"/>
      </w:pPr>
      <w:r>
        <w:t xml:space="preserve">Dissolved NO3+NO2: </w:t>
      </w:r>
      <w:r w:rsidR="00732D2F">
        <w:t>7.1–</w:t>
      </w:r>
      <w:r w:rsidR="003F22A6">
        <w:t>96.2</w:t>
      </w:r>
      <w:r w:rsidR="00732D2F">
        <w:t>percent</w:t>
      </w:r>
      <w:r w:rsidR="003F22A6">
        <w:t xml:space="preserve">; but </w:t>
      </w:r>
      <w:r w:rsidR="001D668C">
        <w:t>in 3 cases, both samples were below detection limit</w:t>
      </w:r>
    </w:p>
    <w:p w:rsidR="003F22A6" w:rsidRDefault="001D668C" w:rsidP="00F80F64">
      <w:pPr>
        <w:pStyle w:val="ListParagraph"/>
        <w:numPr>
          <w:ilvl w:val="0"/>
          <w:numId w:val="1"/>
        </w:numPr>
        <w:spacing w:after="0"/>
      </w:pPr>
      <w:r>
        <w:t>Dissolved nitrite: 12.5</w:t>
      </w:r>
      <w:r w:rsidR="003F22A6">
        <w:t>–1</w:t>
      </w:r>
      <w:r w:rsidR="00732D2F">
        <w:t>,</w:t>
      </w:r>
      <w:r w:rsidR="003F22A6">
        <w:t>000</w:t>
      </w:r>
      <w:r w:rsidR="00732D2F">
        <w:t xml:space="preserve"> percent</w:t>
      </w:r>
      <w:r w:rsidR="003F22A6">
        <w:t>;</w:t>
      </w:r>
      <w:r>
        <w:t xml:space="preserve"> but in 2 cases</w:t>
      </w:r>
      <w:r w:rsidR="00732D2F">
        <w:t>,</w:t>
      </w:r>
      <w:r>
        <w:t xml:space="preserve"> both samples were below detection limit and </w:t>
      </w:r>
      <w:r w:rsidR="00732D2F">
        <w:t xml:space="preserve">third </w:t>
      </w:r>
      <w:r>
        <w:t>case one sample was below the det</w:t>
      </w:r>
      <w:r w:rsidR="00732D2F">
        <w:t>ection</w:t>
      </w:r>
      <w:r>
        <w:t xml:space="preserve"> </w:t>
      </w:r>
      <w:r w:rsidR="00F20B4F">
        <w:t>l</w:t>
      </w:r>
      <w:r>
        <w:t>im</w:t>
      </w:r>
      <w:r w:rsidR="00F20B4F">
        <w:t>i</w:t>
      </w:r>
      <w:r>
        <w:t>t and the other was at the limit</w:t>
      </w:r>
    </w:p>
    <w:p w:rsidR="003F22A6" w:rsidRDefault="00732D2F" w:rsidP="00F80F64">
      <w:pPr>
        <w:pStyle w:val="ListParagraph"/>
        <w:numPr>
          <w:ilvl w:val="0"/>
          <w:numId w:val="1"/>
        </w:numPr>
        <w:spacing w:after="0"/>
      </w:pPr>
      <w:r>
        <w:t>Total phosphorus: 0–</w:t>
      </w:r>
      <w:r w:rsidR="003F22A6">
        <w:t>7.7</w:t>
      </w:r>
      <w:r>
        <w:t xml:space="preserve"> percent</w:t>
      </w:r>
      <w:r w:rsidR="003F22A6">
        <w:t>; median 0</w:t>
      </w:r>
      <w:r>
        <w:t xml:space="preserve"> percent</w:t>
      </w:r>
    </w:p>
    <w:p w:rsidR="008F7EDB" w:rsidRDefault="00732D2F" w:rsidP="00F80F64">
      <w:pPr>
        <w:pStyle w:val="ListParagraph"/>
        <w:numPr>
          <w:ilvl w:val="0"/>
          <w:numId w:val="1"/>
        </w:numPr>
        <w:spacing w:after="0"/>
      </w:pPr>
      <w:r>
        <w:t>Dissolved total nitrogen: 0–</w:t>
      </w:r>
      <w:r w:rsidR="008F7EDB">
        <w:t>8.1</w:t>
      </w:r>
      <w:r>
        <w:t xml:space="preserve"> percent</w:t>
      </w:r>
      <w:r w:rsidR="008F7EDB">
        <w:t>; median 4.5</w:t>
      </w:r>
      <w:r>
        <w:t xml:space="preserve"> percent</w:t>
      </w:r>
    </w:p>
    <w:p w:rsidR="008F7EDB" w:rsidRDefault="00732D2F" w:rsidP="00F80F64">
      <w:pPr>
        <w:pStyle w:val="ListParagraph"/>
        <w:numPr>
          <w:ilvl w:val="0"/>
          <w:numId w:val="1"/>
        </w:numPr>
        <w:spacing w:after="0"/>
      </w:pPr>
      <w:r>
        <w:t>Total N: 1–</w:t>
      </w:r>
      <w:r w:rsidR="008F7EDB">
        <w:t>57.3</w:t>
      </w:r>
      <w:r>
        <w:t xml:space="preserve"> percent</w:t>
      </w:r>
      <w:r w:rsidR="008F7EDB">
        <w:t xml:space="preserve">; median </w:t>
      </w:r>
      <w:r w:rsidR="00CA1AE6">
        <w:t>8</w:t>
      </w:r>
      <w:r>
        <w:t xml:space="preserve"> percent</w:t>
      </w:r>
    </w:p>
    <w:p w:rsidR="00D437D3" w:rsidRDefault="00D437D3" w:rsidP="00F80F64">
      <w:pPr>
        <w:pStyle w:val="ListParagraph"/>
        <w:numPr>
          <w:ilvl w:val="0"/>
          <w:numId w:val="1"/>
        </w:numPr>
        <w:spacing w:after="0"/>
      </w:pPr>
      <w:r>
        <w:t xml:space="preserve">Chlorophyll: </w:t>
      </w:r>
      <w:r w:rsidR="00732D2F">
        <w:t xml:space="preserve"> 0.7–</w:t>
      </w:r>
      <w:r w:rsidR="008A3E14">
        <w:t>19.9</w:t>
      </w:r>
      <w:r w:rsidR="00732D2F">
        <w:t xml:space="preserve"> percent</w:t>
      </w:r>
      <w:r w:rsidR="008A3E14">
        <w:t>; median 4.6</w:t>
      </w:r>
      <w:r w:rsidR="00732D2F">
        <w:t xml:space="preserve"> percent</w:t>
      </w:r>
    </w:p>
    <w:p w:rsidR="00D437D3" w:rsidRDefault="00D437D3" w:rsidP="00F80F64">
      <w:pPr>
        <w:pStyle w:val="ListParagraph"/>
        <w:numPr>
          <w:ilvl w:val="0"/>
          <w:numId w:val="1"/>
        </w:numPr>
        <w:spacing w:after="0"/>
      </w:pPr>
      <w:r>
        <w:t xml:space="preserve">Microcystin: </w:t>
      </w:r>
      <w:r w:rsidR="008A3E14">
        <w:t>2.3</w:t>
      </w:r>
      <w:r w:rsidR="00732D2F">
        <w:t>–</w:t>
      </w:r>
      <w:r w:rsidR="008A3E14">
        <w:t>41.4</w:t>
      </w:r>
      <w:r w:rsidR="00732D2F">
        <w:t xml:space="preserve"> percent</w:t>
      </w:r>
      <w:r w:rsidR="008A3E14">
        <w:t>; median 23</w:t>
      </w:r>
      <w:r w:rsidR="00732D2F">
        <w:t xml:space="preserve"> percent</w:t>
      </w:r>
    </w:p>
    <w:p w:rsidR="003F22A6" w:rsidRDefault="003F22A6" w:rsidP="00C71813">
      <w:pPr>
        <w:spacing w:after="0"/>
      </w:pPr>
    </w:p>
    <w:p w:rsidR="003F22A6" w:rsidRDefault="001D668C" w:rsidP="00C71813">
      <w:pPr>
        <w:spacing w:after="0"/>
      </w:pPr>
      <w:r>
        <w:t>Both samples were below the detection limit, equal</w:t>
      </w:r>
      <w:r w:rsidR="00732D2F">
        <w:t>,</w:t>
      </w:r>
      <w:r>
        <w:t xml:space="preserve"> or one was below and the other at the limit for </w:t>
      </w:r>
      <w:r w:rsidR="003F22A6">
        <w:t xml:space="preserve"> </w:t>
      </w:r>
    </w:p>
    <w:p w:rsidR="003F22A6" w:rsidRDefault="003F22A6" w:rsidP="00F80F64">
      <w:pPr>
        <w:pStyle w:val="ListParagraph"/>
        <w:numPr>
          <w:ilvl w:val="0"/>
          <w:numId w:val="2"/>
        </w:numPr>
        <w:spacing w:after="0"/>
      </w:pPr>
      <w:r>
        <w:t>Ammonia</w:t>
      </w:r>
    </w:p>
    <w:p w:rsidR="003F22A6" w:rsidRDefault="003F22A6" w:rsidP="00F80F64">
      <w:pPr>
        <w:pStyle w:val="ListParagraph"/>
        <w:numPr>
          <w:ilvl w:val="0"/>
          <w:numId w:val="2"/>
        </w:numPr>
        <w:spacing w:after="0"/>
      </w:pPr>
      <w:r>
        <w:t>Orthophosphate</w:t>
      </w:r>
    </w:p>
    <w:p w:rsidR="003F22A6" w:rsidRDefault="003F22A6" w:rsidP="00F80F64">
      <w:pPr>
        <w:pStyle w:val="ListParagraph"/>
        <w:numPr>
          <w:ilvl w:val="0"/>
          <w:numId w:val="2"/>
        </w:numPr>
        <w:spacing w:after="0"/>
      </w:pPr>
      <w:r>
        <w:t>Dissolved phosphorus</w:t>
      </w:r>
    </w:p>
    <w:p w:rsidR="00F20B4F" w:rsidRDefault="00F20B4F"/>
    <w:p w:rsidR="00F20B4F" w:rsidRDefault="00F20B4F">
      <w:r>
        <w:t xml:space="preserve">Due to the small concentrations involved with the nutrient constituents, the differences between </w:t>
      </w:r>
      <w:r w:rsidR="00E2130A">
        <w:t xml:space="preserve">duplicate analyses </w:t>
      </w:r>
      <w:r w:rsidR="00732D2F">
        <w:t>are</w:t>
      </w:r>
      <w:r w:rsidR="00E2130A">
        <w:t xml:space="preserve"> not a concern. </w:t>
      </w:r>
    </w:p>
    <w:p w:rsidR="00F20B4F" w:rsidRDefault="00F20B4F"/>
    <w:p w:rsidR="00324FB7" w:rsidRPr="00421983" w:rsidRDefault="00324FB7">
      <w:pPr>
        <w:rPr>
          <w:b/>
          <w:u w:val="single"/>
        </w:rPr>
      </w:pPr>
      <w:r w:rsidRPr="00421983">
        <w:rPr>
          <w:b/>
          <w:u w:val="single"/>
        </w:rPr>
        <w:t>Plankton Data</w:t>
      </w:r>
    </w:p>
    <w:p w:rsidR="00FD5D04" w:rsidRDefault="00324FB7">
      <w:r>
        <w:t>Data on phytoplankton and zooplankton duplicate samples are within the p</w:t>
      </w:r>
      <w:r w:rsidR="004E1AFB">
        <w:t xml:space="preserve">lankton data files in appendix </w:t>
      </w:r>
      <w:r w:rsidR="00E91E6B">
        <w:t>2</w:t>
      </w:r>
      <w:r>
        <w:t>.</w:t>
      </w:r>
    </w:p>
    <w:p w:rsidR="00324FB7" w:rsidRDefault="00324FB7">
      <w:r>
        <w:t xml:space="preserve">Duplicates were collected </w:t>
      </w:r>
      <w:r w:rsidR="00E91E6B">
        <w:t>on the same dates as the water-</w:t>
      </w:r>
      <w:r>
        <w:t xml:space="preserve">quality samples. </w:t>
      </w:r>
    </w:p>
    <w:p w:rsidR="00324FB7" w:rsidRDefault="00324FB7" w:rsidP="00324FB7">
      <w:pPr>
        <w:spacing w:after="0" w:line="240" w:lineRule="auto"/>
      </w:pPr>
      <w:r>
        <w:t>At site B2 on 9-11-2012 and 6-26-2012</w:t>
      </w:r>
    </w:p>
    <w:p w:rsidR="00324FB7" w:rsidRDefault="00324FB7" w:rsidP="00324FB7">
      <w:pPr>
        <w:spacing w:after="0" w:line="240" w:lineRule="auto"/>
      </w:pPr>
      <w:r>
        <w:t>At site B3 on 8-2-2011 and 10-25-2011</w:t>
      </w:r>
    </w:p>
    <w:p w:rsidR="00324FB7" w:rsidRDefault="00324FB7" w:rsidP="00324FB7">
      <w:pPr>
        <w:spacing w:after="0" w:line="240" w:lineRule="auto"/>
      </w:pPr>
      <w:r>
        <w:t>At site B5 on 10-25-2011</w:t>
      </w:r>
    </w:p>
    <w:p w:rsidR="00324FB7" w:rsidRDefault="00324FB7" w:rsidP="00324FB7">
      <w:pPr>
        <w:spacing w:line="240" w:lineRule="auto"/>
      </w:pPr>
      <w:r>
        <w:t>At site B6 on 6-26-2012</w:t>
      </w:r>
    </w:p>
    <w:p w:rsidR="00324FB7" w:rsidRDefault="00324FB7">
      <w:r>
        <w:t>Duplicate samples are labeled with the site n</w:t>
      </w:r>
      <w:r w:rsidR="00E91E6B">
        <w:t xml:space="preserve">ame and a letter, for example, </w:t>
      </w:r>
      <w:r>
        <w:t>B2-A</w:t>
      </w:r>
      <w:r w:rsidR="00E91E6B">
        <w:t>.</w:t>
      </w:r>
    </w:p>
    <w:p w:rsidR="00FB7BA7" w:rsidRPr="00FB7BA7" w:rsidRDefault="00FB7BA7" w:rsidP="00FB7BA7">
      <w:pPr>
        <w:pStyle w:val="Heading2"/>
      </w:pPr>
      <w:r w:rsidRPr="00FB7BA7">
        <w:lastRenderedPageBreak/>
        <w:t>Quality-Control Considerations for Assessing Molecular Methods</w:t>
      </w:r>
    </w:p>
    <w:p w:rsidR="00FB7BA7" w:rsidRPr="00FB7BA7" w:rsidRDefault="00FB7BA7" w:rsidP="00FB7BA7">
      <w:pPr>
        <w:pStyle w:val="BodyText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bookmarkStart w:id="0" w:name="_GoBack"/>
      <w:r w:rsidRPr="00FB7BA7">
        <w:rPr>
          <w:rFonts w:asciiTheme="minorHAnsi" w:hAnsiTheme="minorHAnsi"/>
          <w:sz w:val="22"/>
          <w:szCs w:val="22"/>
        </w:rPr>
        <w:t xml:space="preserve">Quality-control samples were analyzed to aid in the assessment of the methods and interpretation of the data. </w:t>
      </w:r>
      <w:r w:rsidR="00F224C4">
        <w:rPr>
          <w:rFonts w:asciiTheme="minorHAnsi" w:hAnsiTheme="minorHAnsi"/>
          <w:sz w:val="22"/>
          <w:szCs w:val="22"/>
        </w:rPr>
        <w:t xml:space="preserve">A filter blank was performed every day samples were filtered. An extraction blank was run with every extraction batch, and a no-template control was added in duplicate to each qPCR or qRT-PCR plate. </w:t>
      </w:r>
      <w:r w:rsidRPr="00FB7BA7">
        <w:rPr>
          <w:rFonts w:asciiTheme="minorHAnsi" w:hAnsiTheme="minorHAnsi"/>
          <w:sz w:val="22"/>
          <w:szCs w:val="22"/>
        </w:rPr>
        <w:t>There were low</w:t>
      </w:r>
      <w:r w:rsidR="00E91E6B">
        <w:rPr>
          <w:rFonts w:asciiTheme="minorHAnsi" w:hAnsiTheme="minorHAnsi"/>
          <w:sz w:val="22"/>
          <w:szCs w:val="22"/>
        </w:rPr>
        <w:t>-</w:t>
      </w:r>
      <w:r w:rsidRPr="00FB7BA7">
        <w:rPr>
          <w:rFonts w:asciiTheme="minorHAnsi" w:hAnsiTheme="minorHAnsi"/>
          <w:sz w:val="22"/>
          <w:szCs w:val="22"/>
        </w:rPr>
        <w:t>level detectio</w:t>
      </w:r>
      <w:r w:rsidR="00852D38">
        <w:rPr>
          <w:rFonts w:asciiTheme="minorHAnsi" w:hAnsiTheme="minorHAnsi"/>
          <w:sz w:val="22"/>
          <w:szCs w:val="22"/>
        </w:rPr>
        <w:t>ns in one or more blanks for</w:t>
      </w:r>
      <w:r w:rsidRPr="00FB7BA7">
        <w:rPr>
          <w:rFonts w:asciiTheme="minorHAnsi" w:hAnsiTheme="minorHAnsi"/>
          <w:sz w:val="22"/>
          <w:szCs w:val="22"/>
        </w:rPr>
        <w:t xml:space="preserve"> total cyanobacteria</w:t>
      </w:r>
      <w:r w:rsidR="00852D38">
        <w:rPr>
          <w:rFonts w:asciiTheme="minorHAnsi" w:hAnsiTheme="minorHAnsi"/>
          <w:sz w:val="22"/>
          <w:szCs w:val="22"/>
        </w:rPr>
        <w:t xml:space="preserve"> DNA gene</w:t>
      </w:r>
      <w:r w:rsidRPr="00FB7BA7">
        <w:rPr>
          <w:rFonts w:asciiTheme="minorHAnsi" w:hAnsiTheme="minorHAnsi"/>
          <w:sz w:val="22"/>
          <w:szCs w:val="22"/>
        </w:rPr>
        <w:t xml:space="preserve">, </w:t>
      </w:r>
      <w:r w:rsidRPr="00FB7BA7">
        <w:rPr>
          <w:rFonts w:asciiTheme="minorHAnsi" w:hAnsiTheme="minorHAnsi"/>
          <w:i/>
          <w:sz w:val="22"/>
          <w:szCs w:val="22"/>
        </w:rPr>
        <w:t>Microcystis mcyE</w:t>
      </w:r>
      <w:r w:rsidRPr="00FB7BA7">
        <w:rPr>
          <w:rFonts w:asciiTheme="minorHAnsi" w:hAnsiTheme="minorHAnsi"/>
          <w:sz w:val="22"/>
          <w:szCs w:val="22"/>
        </w:rPr>
        <w:t xml:space="preserve"> </w:t>
      </w:r>
      <w:r w:rsidR="00852D38">
        <w:rPr>
          <w:rFonts w:asciiTheme="minorHAnsi" w:hAnsiTheme="minorHAnsi"/>
          <w:sz w:val="22"/>
          <w:szCs w:val="22"/>
        </w:rPr>
        <w:t>DNA toxin gene,</w:t>
      </w:r>
      <w:r w:rsidRPr="00FB7BA7">
        <w:rPr>
          <w:rFonts w:asciiTheme="minorHAnsi" w:hAnsiTheme="minorHAnsi"/>
          <w:sz w:val="22"/>
          <w:szCs w:val="22"/>
        </w:rPr>
        <w:t xml:space="preserve"> </w:t>
      </w:r>
      <w:r w:rsidRPr="00FB7BA7">
        <w:rPr>
          <w:rFonts w:asciiTheme="minorHAnsi" w:hAnsiTheme="minorHAnsi"/>
          <w:i/>
          <w:sz w:val="22"/>
          <w:szCs w:val="22"/>
        </w:rPr>
        <w:t>Planktothrix mcyE</w:t>
      </w:r>
      <w:r w:rsidR="00852D38">
        <w:rPr>
          <w:rFonts w:asciiTheme="minorHAnsi" w:hAnsiTheme="minorHAnsi"/>
          <w:i/>
          <w:sz w:val="22"/>
          <w:szCs w:val="22"/>
        </w:rPr>
        <w:t xml:space="preserve"> </w:t>
      </w:r>
      <w:r w:rsidR="00852D38">
        <w:rPr>
          <w:rFonts w:asciiTheme="minorHAnsi" w:hAnsiTheme="minorHAnsi"/>
          <w:sz w:val="22"/>
          <w:szCs w:val="22"/>
        </w:rPr>
        <w:t>DNA toxin gene</w:t>
      </w:r>
      <w:r w:rsidRPr="00FB7BA7">
        <w:rPr>
          <w:rFonts w:asciiTheme="minorHAnsi" w:hAnsiTheme="minorHAnsi"/>
          <w:sz w:val="22"/>
          <w:szCs w:val="22"/>
        </w:rPr>
        <w:t xml:space="preserve">, and </w:t>
      </w:r>
      <w:r w:rsidRPr="00FB7BA7">
        <w:rPr>
          <w:rFonts w:asciiTheme="minorHAnsi" w:hAnsiTheme="minorHAnsi"/>
          <w:i/>
          <w:sz w:val="22"/>
          <w:szCs w:val="22"/>
        </w:rPr>
        <w:t>Planktothrix mcyE</w:t>
      </w:r>
      <w:r w:rsidRPr="00FB7BA7">
        <w:rPr>
          <w:rFonts w:asciiTheme="minorHAnsi" w:hAnsiTheme="minorHAnsi"/>
          <w:sz w:val="22"/>
          <w:szCs w:val="22"/>
        </w:rPr>
        <w:t xml:space="preserve"> </w:t>
      </w:r>
      <w:r w:rsidR="00852D38">
        <w:rPr>
          <w:rFonts w:asciiTheme="minorHAnsi" w:hAnsiTheme="minorHAnsi"/>
          <w:sz w:val="22"/>
          <w:szCs w:val="22"/>
        </w:rPr>
        <w:t xml:space="preserve">RNA transcript </w:t>
      </w:r>
      <w:r w:rsidRPr="00FB7BA7">
        <w:rPr>
          <w:rFonts w:asciiTheme="minorHAnsi" w:hAnsiTheme="minorHAnsi"/>
          <w:sz w:val="22"/>
          <w:szCs w:val="22"/>
        </w:rPr>
        <w:t>assays. All detections from blank samples were used to create the limit of detection applied to all samples</w:t>
      </w:r>
      <w:r>
        <w:rPr>
          <w:rFonts w:asciiTheme="minorHAnsi" w:hAnsiTheme="minorHAnsi"/>
          <w:sz w:val="22"/>
          <w:szCs w:val="22"/>
        </w:rPr>
        <w:t xml:space="preserve"> for each assay</w:t>
      </w:r>
      <w:r w:rsidRPr="00FB7BA7">
        <w:rPr>
          <w:rFonts w:asciiTheme="minorHAnsi" w:hAnsiTheme="minorHAnsi"/>
          <w:sz w:val="22"/>
          <w:szCs w:val="22"/>
        </w:rPr>
        <w:t>.</w:t>
      </w:r>
    </w:p>
    <w:p w:rsidR="00FB7BA7" w:rsidRPr="00FB7BA7" w:rsidRDefault="00FB7BA7" w:rsidP="00FB7BA7">
      <w:pPr>
        <w:pStyle w:val="Heading3"/>
        <w:rPr>
          <w:rFonts w:asciiTheme="minorHAnsi" w:eastAsia="Calibri" w:hAnsiTheme="minorHAnsi"/>
          <w:sz w:val="22"/>
          <w:szCs w:val="22"/>
        </w:rPr>
      </w:pPr>
      <w:r w:rsidRPr="00FB7BA7">
        <w:rPr>
          <w:rFonts w:asciiTheme="minorHAnsi" w:eastAsia="Calibri" w:hAnsiTheme="minorHAnsi"/>
          <w:sz w:val="22"/>
          <w:szCs w:val="22"/>
        </w:rPr>
        <w:t>Analytical Variability of Molecular Methods</w:t>
      </w:r>
    </w:p>
    <w:p w:rsidR="00FB7BA7" w:rsidRDefault="00FB7BA7" w:rsidP="00FB7BA7">
      <w:pPr>
        <w:rPr>
          <w:rFonts w:eastAsia="Calibri"/>
        </w:rPr>
      </w:pPr>
      <w:r w:rsidRPr="00FB7BA7">
        <w:rPr>
          <w:rFonts w:eastAsia="Calibri"/>
        </w:rPr>
        <w:t>A total of six concurrent replicates were analyzed by molecular methods. All six replicates were analyzed using the DNA methods</w:t>
      </w:r>
      <w:r w:rsidR="00E91E6B">
        <w:rPr>
          <w:rFonts w:eastAsia="Calibri"/>
        </w:rPr>
        <w:t>,</w:t>
      </w:r>
      <w:r w:rsidRPr="00FB7BA7">
        <w:rPr>
          <w:rFonts w:eastAsia="Calibri"/>
        </w:rPr>
        <w:t xml:space="preserve"> and one was analyzed using the RNA methods (due to only analyzing the samples from buoys 1 and 2 by RNA methods). To determine the analytical variability of each assay</w:t>
      </w:r>
      <w:r w:rsidR="00E91E6B">
        <w:rPr>
          <w:rFonts w:eastAsia="Calibri"/>
        </w:rPr>
        <w:t>,</w:t>
      </w:r>
      <w:r w:rsidRPr="00FB7BA7">
        <w:rPr>
          <w:rFonts w:eastAsia="Calibri"/>
        </w:rPr>
        <w:t xml:space="preserve"> the absolute value log</w:t>
      </w:r>
      <w:r w:rsidRPr="00FB7BA7">
        <w:rPr>
          <w:rFonts w:eastAsia="Calibri"/>
          <w:vertAlign w:val="subscript"/>
        </w:rPr>
        <w:t>10</w:t>
      </w:r>
      <w:r w:rsidRPr="00FB7BA7">
        <w:rPr>
          <w:rFonts w:eastAsia="Calibri"/>
        </w:rPr>
        <w:t xml:space="preserve"> difference (AVLD) was calculated for each replicate sample; data are listed in table</w:t>
      </w:r>
      <w:r w:rsidR="00E91E6B">
        <w:rPr>
          <w:rFonts w:eastAsia="Calibri"/>
        </w:rPr>
        <w:t> </w:t>
      </w:r>
      <w:r w:rsidR="004E1AFB">
        <w:rPr>
          <w:rFonts w:eastAsia="Calibri"/>
        </w:rPr>
        <w:t>5</w:t>
      </w:r>
      <w:r w:rsidR="004E1AFB">
        <w:rPr>
          <w:rFonts w:ascii="Times New Roman" w:eastAsia="Calibri" w:hAnsi="Times New Roman" w:cs="Times New Roman"/>
        </w:rPr>
        <w:t>–</w:t>
      </w:r>
      <w:r w:rsidR="00E91E6B">
        <w:rPr>
          <w:rFonts w:eastAsia="Calibri"/>
        </w:rPr>
        <w:t>1</w:t>
      </w:r>
      <w:r w:rsidRPr="00FB7BA7">
        <w:rPr>
          <w:rFonts w:eastAsia="Calibri"/>
        </w:rPr>
        <w:t>. The AVLD was determined by calculating the absolute value of the difference between concentration results for two replicate samples that were log</w:t>
      </w:r>
      <w:r w:rsidRPr="00FB7BA7">
        <w:rPr>
          <w:rFonts w:eastAsia="Calibri"/>
          <w:vertAlign w:val="subscript"/>
        </w:rPr>
        <w:t>10</w:t>
      </w:r>
      <w:r w:rsidRPr="00FB7BA7">
        <w:rPr>
          <w:rFonts w:eastAsia="Calibri"/>
        </w:rPr>
        <w:t xml:space="preserve"> transformed. Average AVLDs for the assays ranged from 0.09 to &gt;0.58 copy/100 </w:t>
      </w:r>
      <w:proofErr w:type="spellStart"/>
      <w:r w:rsidRPr="00FB7BA7">
        <w:rPr>
          <w:rFonts w:eastAsia="Calibri"/>
        </w:rPr>
        <w:t>mL.</w:t>
      </w:r>
      <w:proofErr w:type="spellEnd"/>
      <w:r w:rsidRPr="00FB7BA7">
        <w:rPr>
          <w:rFonts w:eastAsia="Calibri"/>
        </w:rPr>
        <w:t xml:space="preserve"> The </w:t>
      </w:r>
      <w:r w:rsidRPr="00FB7BA7">
        <w:rPr>
          <w:rFonts w:eastAsia="Calibri"/>
          <w:i/>
        </w:rPr>
        <w:t xml:space="preserve">Microcystis mcyE </w:t>
      </w:r>
      <w:r w:rsidR="00852D38" w:rsidRPr="00852D38">
        <w:rPr>
          <w:rFonts w:eastAsia="Calibri"/>
        </w:rPr>
        <w:t>DNA toxin gene</w:t>
      </w:r>
      <w:r w:rsidR="00852D38">
        <w:rPr>
          <w:rFonts w:eastAsia="Calibri"/>
          <w:i/>
        </w:rPr>
        <w:t xml:space="preserve"> </w:t>
      </w:r>
      <w:r w:rsidRPr="00FB7BA7">
        <w:rPr>
          <w:rFonts w:eastAsia="Calibri"/>
        </w:rPr>
        <w:t xml:space="preserve">assay had the largest average AVLD at &gt;0.58 copy/100 mL, followed by the total </w:t>
      </w:r>
      <w:r w:rsidRPr="00FB7BA7">
        <w:rPr>
          <w:rFonts w:eastAsia="Calibri"/>
          <w:i/>
        </w:rPr>
        <w:t>Microcystis</w:t>
      </w:r>
      <w:r w:rsidRPr="00FB7BA7">
        <w:rPr>
          <w:rFonts w:eastAsia="Calibri"/>
        </w:rPr>
        <w:t xml:space="preserve"> </w:t>
      </w:r>
      <w:r w:rsidR="00852D38">
        <w:rPr>
          <w:rFonts w:eastAsia="Calibri"/>
        </w:rPr>
        <w:t xml:space="preserve">DNA gene </w:t>
      </w:r>
      <w:r w:rsidRPr="00FB7BA7">
        <w:rPr>
          <w:rFonts w:eastAsia="Calibri"/>
        </w:rPr>
        <w:t xml:space="preserve">and </w:t>
      </w:r>
      <w:r w:rsidRPr="00FB7BA7">
        <w:rPr>
          <w:rFonts w:eastAsia="Calibri"/>
          <w:i/>
        </w:rPr>
        <w:t>Planktothrix mcyE</w:t>
      </w:r>
      <w:r w:rsidRPr="00FB7BA7">
        <w:rPr>
          <w:rFonts w:eastAsia="Calibri"/>
        </w:rPr>
        <w:t xml:space="preserve"> </w:t>
      </w:r>
      <w:r w:rsidR="00852D38">
        <w:rPr>
          <w:rFonts w:eastAsia="Calibri"/>
        </w:rPr>
        <w:t xml:space="preserve">RNA transcript </w:t>
      </w:r>
      <w:r w:rsidRPr="00FB7BA7">
        <w:rPr>
          <w:rFonts w:eastAsia="Calibri"/>
        </w:rPr>
        <w:t>assays at 0.47 copy/100 mL. The average AVLDs for the RNA</w:t>
      </w:r>
      <w:r w:rsidR="00852D38">
        <w:rPr>
          <w:rFonts w:eastAsia="Calibri"/>
        </w:rPr>
        <w:t xml:space="preserve"> transcript</w:t>
      </w:r>
      <w:r w:rsidRPr="00FB7BA7">
        <w:rPr>
          <w:rFonts w:eastAsia="Calibri"/>
        </w:rPr>
        <w:t xml:space="preserve"> assays may not be accurate due to only one replicate pair being analyzed.</w:t>
      </w:r>
    </w:p>
    <w:bookmarkEnd w:id="0"/>
    <w:p w:rsidR="00E91E6B" w:rsidRPr="00FB7BA7" w:rsidRDefault="00E91E6B" w:rsidP="00FB7BA7"/>
    <w:sectPr w:rsidR="00E91E6B" w:rsidRPr="00FB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0B1"/>
    <w:multiLevelType w:val="hybridMultilevel"/>
    <w:tmpl w:val="5536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03D94"/>
    <w:multiLevelType w:val="hybridMultilevel"/>
    <w:tmpl w:val="E956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E0"/>
    <w:rsid w:val="001D668C"/>
    <w:rsid w:val="00324FB7"/>
    <w:rsid w:val="003F22A6"/>
    <w:rsid w:val="00421983"/>
    <w:rsid w:val="004E1AFB"/>
    <w:rsid w:val="00732D2F"/>
    <w:rsid w:val="00852D38"/>
    <w:rsid w:val="008A3E14"/>
    <w:rsid w:val="008F7EDB"/>
    <w:rsid w:val="009C6429"/>
    <w:rsid w:val="00A33DE0"/>
    <w:rsid w:val="00B1539F"/>
    <w:rsid w:val="00C71813"/>
    <w:rsid w:val="00C812E2"/>
    <w:rsid w:val="00CA1AE6"/>
    <w:rsid w:val="00D437D3"/>
    <w:rsid w:val="00E2130A"/>
    <w:rsid w:val="00E728B9"/>
    <w:rsid w:val="00E91E6B"/>
    <w:rsid w:val="00F20B4F"/>
    <w:rsid w:val="00F224C4"/>
    <w:rsid w:val="00F80F6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autoRedefine/>
    <w:qFormat/>
    <w:rsid w:val="00FB7BA7"/>
    <w:pPr>
      <w:keepNext/>
      <w:spacing w:before="240" w:after="0" w:line="480" w:lineRule="auto"/>
      <w:outlineLvl w:val="1"/>
    </w:pPr>
    <w:rPr>
      <w:rFonts w:eastAsia="Times New Roman" w:cs="Arial"/>
      <w:b/>
      <w:bCs/>
      <w:iCs/>
      <w:u w:val="single"/>
    </w:rPr>
  </w:style>
  <w:style w:type="paragraph" w:styleId="Heading3">
    <w:name w:val="heading 3"/>
    <w:basedOn w:val="Normal"/>
    <w:next w:val="BodyText"/>
    <w:link w:val="Heading3Char"/>
    <w:qFormat/>
    <w:rsid w:val="00FB7BA7"/>
    <w:pPr>
      <w:keepNext/>
      <w:spacing w:before="240" w:after="0" w:line="480" w:lineRule="auto"/>
      <w:outlineLvl w:val="2"/>
    </w:pPr>
    <w:rPr>
      <w:rFonts w:ascii="Arial Narrow" w:eastAsia="Times New Roman" w:hAnsi="Arial Narrow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B7BA7"/>
    <w:rPr>
      <w:rFonts w:eastAsia="Times New Roman" w:cs="Arial"/>
      <w:b/>
      <w:bCs/>
      <w:iCs/>
      <w:u w:val="single"/>
    </w:rPr>
  </w:style>
  <w:style w:type="character" w:customStyle="1" w:styleId="Heading3Char">
    <w:name w:val="Heading 3 Char"/>
    <w:basedOn w:val="DefaultParagraphFont"/>
    <w:link w:val="Heading3"/>
    <w:rsid w:val="00FB7BA7"/>
    <w:rPr>
      <w:rFonts w:ascii="Arial Narrow" w:eastAsia="Times New Roman" w:hAnsi="Arial Narrow" w:cs="Arial"/>
      <w:bCs/>
      <w:sz w:val="26"/>
      <w:szCs w:val="26"/>
    </w:rPr>
  </w:style>
  <w:style w:type="paragraph" w:styleId="BodyText">
    <w:name w:val="Body Text"/>
    <w:basedOn w:val="Normal"/>
    <w:link w:val="BodyTextChar"/>
    <w:qFormat/>
    <w:rsid w:val="00FB7BA7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B7BA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autoRedefine/>
    <w:qFormat/>
    <w:rsid w:val="00FB7BA7"/>
    <w:pPr>
      <w:keepNext/>
      <w:spacing w:before="240" w:after="0" w:line="480" w:lineRule="auto"/>
      <w:outlineLvl w:val="1"/>
    </w:pPr>
    <w:rPr>
      <w:rFonts w:eastAsia="Times New Roman" w:cs="Arial"/>
      <w:b/>
      <w:bCs/>
      <w:iCs/>
      <w:u w:val="single"/>
    </w:rPr>
  </w:style>
  <w:style w:type="paragraph" w:styleId="Heading3">
    <w:name w:val="heading 3"/>
    <w:basedOn w:val="Normal"/>
    <w:next w:val="BodyText"/>
    <w:link w:val="Heading3Char"/>
    <w:qFormat/>
    <w:rsid w:val="00FB7BA7"/>
    <w:pPr>
      <w:keepNext/>
      <w:spacing w:before="240" w:after="0" w:line="480" w:lineRule="auto"/>
      <w:outlineLvl w:val="2"/>
    </w:pPr>
    <w:rPr>
      <w:rFonts w:ascii="Arial Narrow" w:eastAsia="Times New Roman" w:hAnsi="Arial Narrow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B7BA7"/>
    <w:rPr>
      <w:rFonts w:eastAsia="Times New Roman" w:cs="Arial"/>
      <w:b/>
      <w:bCs/>
      <w:iCs/>
      <w:u w:val="single"/>
    </w:rPr>
  </w:style>
  <w:style w:type="character" w:customStyle="1" w:styleId="Heading3Char">
    <w:name w:val="Heading 3 Char"/>
    <w:basedOn w:val="DefaultParagraphFont"/>
    <w:link w:val="Heading3"/>
    <w:rsid w:val="00FB7BA7"/>
    <w:rPr>
      <w:rFonts w:ascii="Arial Narrow" w:eastAsia="Times New Roman" w:hAnsi="Arial Narrow" w:cs="Arial"/>
      <w:bCs/>
      <w:sz w:val="26"/>
      <w:szCs w:val="26"/>
    </w:rPr>
  </w:style>
  <w:style w:type="paragraph" w:styleId="BodyText">
    <w:name w:val="Body Text"/>
    <w:basedOn w:val="Normal"/>
    <w:link w:val="BodyTextChar"/>
    <w:qFormat/>
    <w:rsid w:val="00FB7BA7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B7BA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Dumouchelle, Denise H.</dc:creator>
  <cp:lastModifiedBy>Dumouchelle, Denise H.</cp:lastModifiedBy>
  <cp:revision>6</cp:revision>
  <dcterms:created xsi:type="dcterms:W3CDTF">2014-10-01T01:49:00Z</dcterms:created>
  <dcterms:modified xsi:type="dcterms:W3CDTF">2014-10-10T12:49:00Z</dcterms:modified>
</cp:coreProperties>
</file>